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F6686" w14:textId="3ED100BD" w:rsidR="007C012C" w:rsidRPr="0095526C" w:rsidRDefault="0095526C" w:rsidP="007C012C">
      <w:pPr>
        <w:jc w:val="center"/>
        <w:rPr>
          <w:rFonts w:ascii="Calibri" w:hAnsi="Calibri" w:cs="Calibri"/>
          <w:b/>
          <w:i/>
          <w:color w:val="1F3864" w:themeColor="accent1" w:themeShade="80"/>
          <w:sz w:val="108"/>
          <w:szCs w:val="10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5526C">
        <w:rPr>
          <w:rFonts w:ascii="Calibri" w:hAnsi="Calibri" w:cs="Calibri"/>
          <w:b/>
          <w:i/>
          <w:color w:val="1F3864" w:themeColor="accent1" w:themeShade="80"/>
          <w:sz w:val="108"/>
          <w:szCs w:val="10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TPSA</w:t>
      </w:r>
    </w:p>
    <w:p w14:paraId="035E145C" w14:textId="5CC96BEE" w:rsidR="007C012C" w:rsidRPr="00F87067" w:rsidRDefault="00F87067" w:rsidP="007C012C">
      <w:pPr>
        <w:pStyle w:val="Subtitle"/>
        <w:tabs>
          <w:tab w:val="left" w:pos="4500"/>
        </w:tabs>
        <w:rPr>
          <w:rFonts w:ascii="Calibri" w:hAnsi="Calibri"/>
          <w:b/>
          <w:i w:val="0"/>
          <w:iCs w:val="0"/>
          <w:color w:val="1F3864" w:themeColor="accent1" w:themeShade="8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87067">
        <w:rPr>
          <w:rFonts w:ascii="Calibri" w:hAnsi="Calibri" w:cs="Calibri"/>
          <w:b/>
          <w:color w:val="1F3864" w:themeColor="accent1" w:themeShade="80"/>
          <w:sz w:val="80"/>
          <w:szCs w:val="8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August</w:t>
      </w:r>
      <w:r w:rsidR="007C012C" w:rsidRPr="00F87067">
        <w:rPr>
          <w:rFonts w:ascii="Calibri" w:hAnsi="Calibri" w:cs="Calibri"/>
          <w:b/>
          <w:color w:val="1F3864" w:themeColor="accent1" w:themeShade="80"/>
          <w:sz w:val="80"/>
          <w:szCs w:val="8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2020 News</w:t>
      </w:r>
      <w:r w:rsidR="00681C63" w:rsidRPr="00F87067">
        <w:rPr>
          <w:rFonts w:ascii="Calibri" w:hAnsi="Calibri" w:cs="Calibri"/>
          <w:b/>
          <w:color w:val="1F3864" w:themeColor="accent1" w:themeShade="80"/>
          <w:sz w:val="80"/>
          <w:szCs w:val="8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634C4022" w14:textId="60327F31" w:rsidR="00CC1DC0" w:rsidRPr="005F6189" w:rsidRDefault="00CC1DC0">
      <w:pPr>
        <w:rPr>
          <w:b/>
          <w:bCs/>
          <w:i/>
          <w:iCs/>
          <w:sz w:val="12"/>
          <w:szCs w:val="12"/>
        </w:rPr>
      </w:pPr>
    </w:p>
    <w:p w14:paraId="0706ED31" w14:textId="545B5176" w:rsidR="007C012C" w:rsidRPr="009B51E4" w:rsidRDefault="005E09AF" w:rsidP="004F48DE">
      <w:pPr>
        <w:jc w:val="center"/>
        <w:rPr>
          <w:b/>
          <w:bCs/>
          <w:i/>
          <w:iCs/>
          <w:sz w:val="36"/>
          <w:szCs w:val="36"/>
        </w:rPr>
      </w:pPr>
      <w:r>
        <w:rPr>
          <w:b/>
          <w:bCs/>
          <w:i/>
          <w:iCs/>
          <w:sz w:val="36"/>
          <w:szCs w:val="36"/>
        </w:rPr>
        <w:t>U.S. Supreme Court Concludes Another Blockbuster Term</w:t>
      </w:r>
    </w:p>
    <w:p w14:paraId="22347D09" w14:textId="4F9420D1" w:rsidR="008F0D62" w:rsidRDefault="008F0D62" w:rsidP="00826C1B">
      <w:pPr>
        <w:pStyle w:val="NormalWeb"/>
        <w:spacing w:before="0" w:beforeAutospacing="0" w:after="0" w:afterAutospacing="0" w:line="259" w:lineRule="auto"/>
        <w:jc w:val="both"/>
        <w:rPr>
          <w:rFonts w:asciiTheme="minorHAnsi" w:hAnsiTheme="minorHAnsi" w:cstheme="minorHAnsi"/>
          <w:sz w:val="26"/>
          <w:szCs w:val="26"/>
        </w:rPr>
      </w:pPr>
      <w:r>
        <w:rPr>
          <w:rFonts w:asciiTheme="minorHAnsi" w:hAnsiTheme="minorHAnsi" w:cstheme="minorHAnsi"/>
          <w:sz w:val="26"/>
          <w:szCs w:val="26"/>
        </w:rPr>
        <w:t xml:space="preserve">With everything that has </w:t>
      </w:r>
      <w:r w:rsidR="00F3689F">
        <w:rPr>
          <w:rFonts w:asciiTheme="minorHAnsi" w:hAnsiTheme="minorHAnsi" w:cstheme="minorHAnsi"/>
          <w:sz w:val="26"/>
          <w:szCs w:val="26"/>
        </w:rPr>
        <w:t xml:space="preserve">happened </w:t>
      </w:r>
      <w:r>
        <w:rPr>
          <w:rFonts w:asciiTheme="minorHAnsi" w:hAnsiTheme="minorHAnsi" w:cstheme="minorHAnsi"/>
          <w:sz w:val="26"/>
          <w:szCs w:val="26"/>
        </w:rPr>
        <w:t xml:space="preserve">so far in 2020, it </w:t>
      </w:r>
      <w:r w:rsidR="004F67F4">
        <w:rPr>
          <w:rFonts w:asciiTheme="minorHAnsi" w:hAnsiTheme="minorHAnsi" w:cstheme="minorHAnsi"/>
          <w:sz w:val="26"/>
          <w:szCs w:val="26"/>
        </w:rPr>
        <w:t>might</w:t>
      </w:r>
      <w:r w:rsidR="00F3689F">
        <w:rPr>
          <w:rFonts w:asciiTheme="minorHAnsi" w:hAnsiTheme="minorHAnsi" w:cstheme="minorHAnsi"/>
          <w:sz w:val="26"/>
          <w:szCs w:val="26"/>
        </w:rPr>
        <w:t xml:space="preserve"> be</w:t>
      </w:r>
      <w:r w:rsidR="00397022">
        <w:rPr>
          <w:rFonts w:asciiTheme="minorHAnsi" w:hAnsiTheme="minorHAnsi" w:cstheme="minorHAnsi"/>
          <w:sz w:val="26"/>
          <w:szCs w:val="26"/>
        </w:rPr>
        <w:t xml:space="preserve"> </w:t>
      </w:r>
      <w:r>
        <w:rPr>
          <w:rFonts w:asciiTheme="minorHAnsi" w:hAnsiTheme="minorHAnsi" w:cstheme="minorHAnsi"/>
          <w:sz w:val="26"/>
          <w:szCs w:val="26"/>
        </w:rPr>
        <w:t xml:space="preserve">easy to overlook the most recent </w:t>
      </w:r>
      <w:r w:rsidR="006267F9">
        <w:rPr>
          <w:rFonts w:asciiTheme="minorHAnsi" w:hAnsiTheme="minorHAnsi" w:cstheme="minorHAnsi"/>
          <w:sz w:val="26"/>
          <w:szCs w:val="26"/>
        </w:rPr>
        <w:t>legal decisions</w:t>
      </w:r>
      <w:r>
        <w:rPr>
          <w:rFonts w:asciiTheme="minorHAnsi" w:hAnsiTheme="minorHAnsi" w:cstheme="minorHAnsi"/>
          <w:sz w:val="26"/>
          <w:szCs w:val="26"/>
        </w:rPr>
        <w:t xml:space="preserve"> from </w:t>
      </w:r>
      <w:r w:rsidR="006267F9">
        <w:rPr>
          <w:rFonts w:asciiTheme="minorHAnsi" w:hAnsiTheme="minorHAnsi" w:cstheme="minorHAnsi"/>
          <w:sz w:val="26"/>
          <w:szCs w:val="26"/>
        </w:rPr>
        <w:t>our</w:t>
      </w:r>
      <w:r>
        <w:rPr>
          <w:rFonts w:asciiTheme="minorHAnsi" w:hAnsiTheme="minorHAnsi" w:cstheme="minorHAnsi"/>
          <w:sz w:val="26"/>
          <w:szCs w:val="26"/>
        </w:rPr>
        <w:t xml:space="preserve"> nation’s highest court</w:t>
      </w:r>
      <w:r w:rsidR="006267F9">
        <w:rPr>
          <w:rFonts w:asciiTheme="minorHAnsi" w:hAnsiTheme="minorHAnsi" w:cstheme="minorHAnsi"/>
          <w:sz w:val="26"/>
          <w:szCs w:val="26"/>
        </w:rPr>
        <w:t>.</w:t>
      </w:r>
      <w:r>
        <w:rPr>
          <w:rFonts w:asciiTheme="minorHAnsi" w:hAnsiTheme="minorHAnsi" w:cstheme="minorHAnsi"/>
          <w:sz w:val="26"/>
          <w:szCs w:val="26"/>
        </w:rPr>
        <w:t xml:space="preserve">  The U.S. Supreme Court concludes their term every year in late June or early July.  This year’s term delivered some </w:t>
      </w:r>
      <w:r w:rsidR="006267F9">
        <w:rPr>
          <w:rFonts w:asciiTheme="minorHAnsi" w:hAnsiTheme="minorHAnsi" w:cstheme="minorHAnsi"/>
          <w:sz w:val="26"/>
          <w:szCs w:val="26"/>
        </w:rPr>
        <w:t>big</w:t>
      </w:r>
      <w:r>
        <w:rPr>
          <w:rFonts w:asciiTheme="minorHAnsi" w:hAnsiTheme="minorHAnsi" w:cstheme="minorHAnsi"/>
          <w:sz w:val="26"/>
          <w:szCs w:val="26"/>
        </w:rPr>
        <w:t xml:space="preserve"> headlines</w:t>
      </w:r>
      <w:r w:rsidR="00D2734F">
        <w:rPr>
          <w:rFonts w:asciiTheme="minorHAnsi" w:hAnsiTheme="minorHAnsi" w:cstheme="minorHAnsi"/>
          <w:sz w:val="26"/>
          <w:szCs w:val="26"/>
        </w:rPr>
        <w:t xml:space="preserve"> as promised</w:t>
      </w:r>
      <w:r w:rsidR="00C955FC">
        <w:rPr>
          <w:rFonts w:asciiTheme="minorHAnsi" w:hAnsiTheme="minorHAnsi" w:cstheme="minorHAnsi"/>
          <w:sz w:val="26"/>
          <w:szCs w:val="26"/>
        </w:rPr>
        <w:t xml:space="preserve"> – even </w:t>
      </w:r>
      <w:r w:rsidR="00124ABF">
        <w:rPr>
          <w:rFonts w:asciiTheme="minorHAnsi" w:hAnsiTheme="minorHAnsi" w:cstheme="minorHAnsi"/>
          <w:sz w:val="26"/>
          <w:szCs w:val="26"/>
        </w:rPr>
        <w:t>as</w:t>
      </w:r>
      <w:r w:rsidR="00D2734F">
        <w:rPr>
          <w:rFonts w:asciiTheme="minorHAnsi" w:hAnsiTheme="minorHAnsi" w:cstheme="minorHAnsi"/>
          <w:sz w:val="26"/>
          <w:szCs w:val="26"/>
        </w:rPr>
        <w:t xml:space="preserve"> </w:t>
      </w:r>
      <w:r w:rsidR="00C955FC">
        <w:rPr>
          <w:rFonts w:asciiTheme="minorHAnsi" w:hAnsiTheme="minorHAnsi" w:cstheme="minorHAnsi"/>
          <w:sz w:val="26"/>
          <w:szCs w:val="26"/>
        </w:rPr>
        <w:t>COVID-19 developments</w:t>
      </w:r>
      <w:r w:rsidR="00D2734F">
        <w:rPr>
          <w:rFonts w:asciiTheme="minorHAnsi" w:hAnsiTheme="minorHAnsi" w:cstheme="minorHAnsi"/>
          <w:sz w:val="26"/>
          <w:szCs w:val="26"/>
        </w:rPr>
        <w:t xml:space="preserve"> continued to garner the most attention</w:t>
      </w:r>
      <w:r>
        <w:rPr>
          <w:rFonts w:asciiTheme="minorHAnsi" w:hAnsiTheme="minorHAnsi" w:cstheme="minorHAnsi"/>
          <w:sz w:val="26"/>
          <w:szCs w:val="26"/>
        </w:rPr>
        <w:t>.</w:t>
      </w:r>
      <w:r w:rsidR="00C955FC">
        <w:rPr>
          <w:rFonts w:asciiTheme="minorHAnsi" w:hAnsiTheme="minorHAnsi" w:cstheme="minorHAnsi"/>
          <w:sz w:val="26"/>
          <w:szCs w:val="26"/>
        </w:rPr>
        <w:t xml:space="preserve">  </w:t>
      </w:r>
      <w:proofErr w:type="gramStart"/>
      <w:r w:rsidR="00983AF6">
        <w:rPr>
          <w:rFonts w:asciiTheme="minorHAnsi" w:hAnsiTheme="minorHAnsi" w:cstheme="minorHAnsi"/>
          <w:sz w:val="26"/>
          <w:szCs w:val="26"/>
        </w:rPr>
        <w:t>Let’s</w:t>
      </w:r>
      <w:proofErr w:type="gramEnd"/>
      <w:r w:rsidR="00C955FC">
        <w:rPr>
          <w:rFonts w:asciiTheme="minorHAnsi" w:hAnsiTheme="minorHAnsi" w:cstheme="minorHAnsi"/>
          <w:sz w:val="26"/>
          <w:szCs w:val="26"/>
        </w:rPr>
        <w:t xml:space="preserve"> look at a few of the major employment law cases </w:t>
      </w:r>
      <w:r w:rsidR="00D2734F">
        <w:rPr>
          <w:rFonts w:asciiTheme="minorHAnsi" w:hAnsiTheme="minorHAnsi" w:cstheme="minorHAnsi"/>
          <w:sz w:val="26"/>
          <w:szCs w:val="26"/>
        </w:rPr>
        <w:t xml:space="preserve">that the Court decided, </w:t>
      </w:r>
      <w:r w:rsidR="00CE3799">
        <w:rPr>
          <w:rFonts w:asciiTheme="minorHAnsi" w:hAnsiTheme="minorHAnsi" w:cstheme="minorHAnsi"/>
          <w:sz w:val="26"/>
          <w:szCs w:val="26"/>
        </w:rPr>
        <w:t>including t</w:t>
      </w:r>
      <w:r w:rsidR="00D2734F">
        <w:rPr>
          <w:rFonts w:asciiTheme="minorHAnsi" w:hAnsiTheme="minorHAnsi" w:cstheme="minorHAnsi"/>
          <w:sz w:val="26"/>
          <w:szCs w:val="26"/>
        </w:rPr>
        <w:t xml:space="preserve">he impact </w:t>
      </w:r>
      <w:r w:rsidR="00C955FC">
        <w:rPr>
          <w:rFonts w:asciiTheme="minorHAnsi" w:hAnsiTheme="minorHAnsi" w:cstheme="minorHAnsi"/>
          <w:sz w:val="26"/>
          <w:szCs w:val="26"/>
        </w:rPr>
        <w:t>the</w:t>
      </w:r>
      <w:r w:rsidR="00DC0D3F">
        <w:rPr>
          <w:rFonts w:asciiTheme="minorHAnsi" w:hAnsiTheme="minorHAnsi" w:cstheme="minorHAnsi"/>
          <w:sz w:val="26"/>
          <w:szCs w:val="26"/>
        </w:rPr>
        <w:t xml:space="preserve">se rulings </w:t>
      </w:r>
      <w:r w:rsidR="00D2734F">
        <w:rPr>
          <w:rFonts w:asciiTheme="minorHAnsi" w:hAnsiTheme="minorHAnsi" w:cstheme="minorHAnsi"/>
          <w:sz w:val="26"/>
          <w:szCs w:val="26"/>
        </w:rPr>
        <w:t xml:space="preserve">will likely </w:t>
      </w:r>
      <w:r w:rsidR="00C955FC">
        <w:rPr>
          <w:rFonts w:asciiTheme="minorHAnsi" w:hAnsiTheme="minorHAnsi" w:cstheme="minorHAnsi"/>
          <w:sz w:val="26"/>
          <w:szCs w:val="26"/>
        </w:rPr>
        <w:t xml:space="preserve">have </w:t>
      </w:r>
      <w:r w:rsidR="006267F9">
        <w:rPr>
          <w:rFonts w:asciiTheme="minorHAnsi" w:hAnsiTheme="minorHAnsi" w:cstheme="minorHAnsi"/>
          <w:sz w:val="26"/>
          <w:szCs w:val="26"/>
        </w:rPr>
        <w:t xml:space="preserve">on workers </w:t>
      </w:r>
      <w:r w:rsidR="00C955FC">
        <w:rPr>
          <w:rFonts w:asciiTheme="minorHAnsi" w:hAnsiTheme="minorHAnsi" w:cstheme="minorHAnsi"/>
          <w:sz w:val="26"/>
          <w:szCs w:val="26"/>
        </w:rPr>
        <w:t xml:space="preserve">in the years to come. </w:t>
      </w:r>
    </w:p>
    <w:p w14:paraId="684383CD" w14:textId="77777777" w:rsidR="00DA16D1" w:rsidRDefault="00DA16D1" w:rsidP="00826C1B">
      <w:pPr>
        <w:pStyle w:val="NormalWeb"/>
        <w:spacing w:before="0" w:beforeAutospacing="0" w:after="0" w:afterAutospacing="0" w:line="259" w:lineRule="auto"/>
        <w:jc w:val="both"/>
        <w:rPr>
          <w:rFonts w:asciiTheme="minorHAnsi" w:hAnsiTheme="minorHAnsi" w:cstheme="minorHAnsi"/>
          <w:sz w:val="26"/>
          <w:szCs w:val="26"/>
        </w:rPr>
      </w:pPr>
    </w:p>
    <w:p w14:paraId="06D71974" w14:textId="03DE8DC9" w:rsidR="00124ABF" w:rsidRDefault="00DC0D3F" w:rsidP="00A97E93">
      <w:pPr>
        <w:pStyle w:val="NormalWeb"/>
        <w:spacing w:before="0" w:beforeAutospacing="0" w:after="0" w:afterAutospacing="0" w:line="259" w:lineRule="auto"/>
        <w:jc w:val="both"/>
        <w:rPr>
          <w:rFonts w:asciiTheme="minorHAnsi" w:hAnsiTheme="minorHAnsi" w:cstheme="minorHAnsi"/>
          <w:sz w:val="26"/>
          <w:szCs w:val="26"/>
        </w:rPr>
      </w:pPr>
      <w:r w:rsidRPr="00A2569A">
        <w:rPr>
          <w:rFonts w:asciiTheme="minorHAnsi" w:hAnsiTheme="minorHAnsi" w:cstheme="minorHAnsi"/>
          <w:b/>
          <w:bCs/>
          <w:sz w:val="26"/>
          <w:szCs w:val="26"/>
          <w:u w:val="single"/>
        </w:rPr>
        <w:t>LGBTQ</w:t>
      </w:r>
      <w:r w:rsidR="00A97E93" w:rsidRPr="00A2569A">
        <w:rPr>
          <w:rFonts w:asciiTheme="minorHAnsi" w:hAnsiTheme="minorHAnsi" w:cstheme="minorHAnsi"/>
          <w:b/>
          <w:bCs/>
          <w:sz w:val="26"/>
          <w:szCs w:val="26"/>
          <w:u w:val="single"/>
        </w:rPr>
        <w:t xml:space="preserve"> </w:t>
      </w:r>
      <w:r w:rsidR="001B22DC" w:rsidRPr="00A2569A">
        <w:rPr>
          <w:rFonts w:asciiTheme="minorHAnsi" w:hAnsiTheme="minorHAnsi" w:cstheme="minorHAnsi"/>
          <w:b/>
          <w:bCs/>
          <w:sz w:val="26"/>
          <w:szCs w:val="26"/>
          <w:u w:val="single"/>
        </w:rPr>
        <w:t>Rights</w:t>
      </w:r>
      <w:r w:rsidR="00A97E93" w:rsidRPr="00A2569A">
        <w:rPr>
          <w:rFonts w:asciiTheme="minorHAnsi" w:hAnsiTheme="minorHAnsi" w:cstheme="minorHAnsi"/>
          <w:sz w:val="26"/>
          <w:szCs w:val="26"/>
        </w:rPr>
        <w:t xml:space="preserve">:  </w:t>
      </w:r>
      <w:r w:rsidR="008E1F0B">
        <w:rPr>
          <w:rFonts w:asciiTheme="minorHAnsi" w:hAnsiTheme="minorHAnsi" w:cstheme="minorHAnsi"/>
          <w:sz w:val="26"/>
          <w:szCs w:val="26"/>
        </w:rPr>
        <w:t xml:space="preserve">In </w:t>
      </w:r>
      <w:r w:rsidR="00A2569A" w:rsidRPr="008E1F0B">
        <w:rPr>
          <w:rFonts w:asciiTheme="minorHAnsi" w:hAnsiTheme="minorHAnsi" w:cstheme="minorHAnsi"/>
          <w:i/>
          <w:iCs/>
          <w:sz w:val="26"/>
          <w:szCs w:val="26"/>
        </w:rPr>
        <w:t>Bostock v. Clayton County, Georgia</w:t>
      </w:r>
      <w:r w:rsidR="008E1F0B">
        <w:rPr>
          <w:rFonts w:asciiTheme="minorHAnsi" w:hAnsiTheme="minorHAnsi" w:cstheme="minorHAnsi"/>
          <w:sz w:val="26"/>
          <w:szCs w:val="26"/>
        </w:rPr>
        <w:t>,</w:t>
      </w:r>
      <w:r w:rsidR="00A2569A" w:rsidRPr="00A2569A">
        <w:rPr>
          <w:rFonts w:asciiTheme="minorHAnsi" w:hAnsiTheme="minorHAnsi" w:cstheme="minorHAnsi"/>
          <w:sz w:val="26"/>
          <w:szCs w:val="26"/>
        </w:rPr>
        <w:t xml:space="preserve"> </w:t>
      </w:r>
      <w:r w:rsidR="008E1F0B">
        <w:rPr>
          <w:rFonts w:asciiTheme="minorHAnsi" w:hAnsiTheme="minorHAnsi" w:cstheme="minorHAnsi"/>
          <w:sz w:val="26"/>
          <w:szCs w:val="26"/>
        </w:rPr>
        <w:t>the Court held that a</w:t>
      </w:r>
      <w:r w:rsidR="00A2569A" w:rsidRPr="00A2569A">
        <w:rPr>
          <w:rFonts w:asciiTheme="minorHAnsi" w:hAnsiTheme="minorHAnsi" w:cstheme="minorHAnsi"/>
          <w:sz w:val="26"/>
          <w:szCs w:val="26"/>
        </w:rPr>
        <w:t>n employer who fires an individual merely for being gay or transgender violates Title VII of the Civil Rights Act of 1964.</w:t>
      </w:r>
      <w:r w:rsidR="00A97E93" w:rsidRPr="00A2569A">
        <w:rPr>
          <w:rFonts w:asciiTheme="minorHAnsi" w:hAnsiTheme="minorHAnsi" w:cstheme="minorHAnsi"/>
          <w:sz w:val="26"/>
          <w:szCs w:val="26"/>
        </w:rPr>
        <w:t xml:space="preserve">  </w:t>
      </w:r>
      <w:r w:rsidR="008E1F0B">
        <w:rPr>
          <w:rFonts w:asciiTheme="minorHAnsi" w:hAnsiTheme="minorHAnsi" w:cstheme="minorHAnsi"/>
          <w:sz w:val="26"/>
          <w:szCs w:val="26"/>
        </w:rPr>
        <w:t xml:space="preserve">The case consolidated three separate cases.  In the lead case, the County had fired Gerald Bostock for “conduct unbecoming” a county employee shortly after he began participating in a gay recreational softball league.  In the second case, a private company fired Donald </w:t>
      </w:r>
      <w:proofErr w:type="spellStart"/>
      <w:r w:rsidR="008E1F0B">
        <w:rPr>
          <w:rFonts w:asciiTheme="minorHAnsi" w:hAnsiTheme="minorHAnsi" w:cstheme="minorHAnsi"/>
          <w:sz w:val="26"/>
          <w:szCs w:val="26"/>
        </w:rPr>
        <w:t>Zarda</w:t>
      </w:r>
      <w:proofErr w:type="spellEnd"/>
      <w:r w:rsidR="008E1F0B">
        <w:rPr>
          <w:rFonts w:asciiTheme="minorHAnsi" w:hAnsiTheme="minorHAnsi" w:cstheme="minorHAnsi"/>
          <w:sz w:val="26"/>
          <w:szCs w:val="26"/>
        </w:rPr>
        <w:t xml:space="preserve"> days after he mentioned being gay.  In the third case, a funeral home fired Aimee Stephens</w:t>
      </w:r>
      <w:r w:rsidR="00397022">
        <w:rPr>
          <w:rFonts w:asciiTheme="minorHAnsi" w:hAnsiTheme="minorHAnsi" w:cstheme="minorHAnsi"/>
          <w:sz w:val="26"/>
          <w:szCs w:val="26"/>
        </w:rPr>
        <w:t xml:space="preserve"> </w:t>
      </w:r>
      <w:r w:rsidR="008E1F0B">
        <w:rPr>
          <w:rFonts w:asciiTheme="minorHAnsi" w:hAnsiTheme="minorHAnsi" w:cstheme="minorHAnsi"/>
          <w:sz w:val="26"/>
          <w:szCs w:val="26"/>
        </w:rPr>
        <w:t xml:space="preserve">after she informed her employer that she planned to “live and work full-time as a woman.”  </w:t>
      </w:r>
      <w:r w:rsidR="00397022">
        <w:rPr>
          <w:rFonts w:asciiTheme="minorHAnsi" w:hAnsiTheme="minorHAnsi" w:cstheme="minorHAnsi"/>
          <w:sz w:val="26"/>
          <w:szCs w:val="26"/>
        </w:rPr>
        <w:t>She had presented as a male when hired</w:t>
      </w:r>
      <w:r w:rsidR="00EE618C">
        <w:rPr>
          <w:rFonts w:asciiTheme="minorHAnsi" w:hAnsiTheme="minorHAnsi" w:cstheme="minorHAnsi"/>
          <w:sz w:val="26"/>
          <w:szCs w:val="26"/>
        </w:rPr>
        <w:t xml:space="preserve"> initially</w:t>
      </w:r>
      <w:r w:rsidR="00397022">
        <w:rPr>
          <w:rFonts w:asciiTheme="minorHAnsi" w:hAnsiTheme="minorHAnsi" w:cstheme="minorHAnsi"/>
          <w:sz w:val="26"/>
          <w:szCs w:val="26"/>
        </w:rPr>
        <w:t xml:space="preserve">.  </w:t>
      </w:r>
      <w:r w:rsidR="008E1F0B">
        <w:rPr>
          <w:rFonts w:asciiTheme="minorHAnsi" w:hAnsiTheme="minorHAnsi" w:cstheme="minorHAnsi"/>
          <w:sz w:val="26"/>
          <w:szCs w:val="26"/>
        </w:rPr>
        <w:t xml:space="preserve">In each case, the employee sued alleging sex discrimination under Title VII.  </w:t>
      </w:r>
    </w:p>
    <w:p w14:paraId="405F575F" w14:textId="77777777" w:rsidR="00124ABF" w:rsidRDefault="00124ABF" w:rsidP="00A97E93">
      <w:pPr>
        <w:pStyle w:val="NormalWeb"/>
        <w:spacing w:before="0" w:beforeAutospacing="0" w:after="0" w:afterAutospacing="0" w:line="259" w:lineRule="auto"/>
        <w:jc w:val="both"/>
        <w:rPr>
          <w:rFonts w:asciiTheme="minorHAnsi" w:hAnsiTheme="minorHAnsi" w:cstheme="minorHAnsi"/>
          <w:sz w:val="26"/>
          <w:szCs w:val="26"/>
        </w:rPr>
      </w:pPr>
    </w:p>
    <w:p w14:paraId="254831C9" w14:textId="5DD1C427" w:rsidR="00192092" w:rsidRDefault="008E1F0B" w:rsidP="00A97E93">
      <w:pPr>
        <w:pStyle w:val="NormalWeb"/>
        <w:spacing w:before="0" w:beforeAutospacing="0" w:after="0" w:afterAutospacing="0" w:line="259" w:lineRule="auto"/>
        <w:jc w:val="both"/>
        <w:rPr>
          <w:rFonts w:asciiTheme="minorHAnsi" w:hAnsiTheme="minorHAnsi" w:cstheme="minorHAnsi"/>
          <w:sz w:val="26"/>
          <w:szCs w:val="26"/>
        </w:rPr>
      </w:pPr>
      <w:r>
        <w:rPr>
          <w:rFonts w:asciiTheme="minorHAnsi" w:hAnsiTheme="minorHAnsi" w:cstheme="minorHAnsi"/>
          <w:sz w:val="26"/>
          <w:szCs w:val="26"/>
        </w:rPr>
        <w:t xml:space="preserve">The Eleventh Circuit Court of Appeals – which covers </w:t>
      </w:r>
      <w:r w:rsidR="00124ABF">
        <w:rPr>
          <w:rFonts w:asciiTheme="minorHAnsi" w:hAnsiTheme="minorHAnsi" w:cstheme="minorHAnsi"/>
          <w:sz w:val="26"/>
          <w:szCs w:val="26"/>
        </w:rPr>
        <w:t>Georgia</w:t>
      </w:r>
      <w:r>
        <w:rPr>
          <w:rFonts w:asciiTheme="minorHAnsi" w:hAnsiTheme="minorHAnsi" w:cstheme="minorHAnsi"/>
          <w:sz w:val="26"/>
          <w:szCs w:val="26"/>
        </w:rPr>
        <w:t xml:space="preserve"> – held that Title VII did not prohibit employers from firing workers for being gay</w:t>
      </w:r>
      <w:r w:rsidR="005B3B4E">
        <w:rPr>
          <w:rFonts w:asciiTheme="minorHAnsi" w:hAnsiTheme="minorHAnsi" w:cstheme="minorHAnsi"/>
          <w:sz w:val="26"/>
          <w:szCs w:val="26"/>
        </w:rPr>
        <w:t xml:space="preserve"> and dismissed Bostock’s case as a matter of law.  The Second and Sixth Circuit Court of Appeals – which covered the other two cases – held that Mr. </w:t>
      </w:r>
      <w:proofErr w:type="spellStart"/>
      <w:r w:rsidR="005B3B4E">
        <w:rPr>
          <w:rFonts w:asciiTheme="minorHAnsi" w:hAnsiTheme="minorHAnsi" w:cstheme="minorHAnsi"/>
          <w:sz w:val="26"/>
          <w:szCs w:val="26"/>
        </w:rPr>
        <w:t>Zarda</w:t>
      </w:r>
      <w:r w:rsidR="00401D5E">
        <w:rPr>
          <w:rFonts w:asciiTheme="minorHAnsi" w:hAnsiTheme="minorHAnsi" w:cstheme="minorHAnsi"/>
          <w:sz w:val="26"/>
          <w:szCs w:val="26"/>
        </w:rPr>
        <w:t>’s</w:t>
      </w:r>
      <w:proofErr w:type="spellEnd"/>
      <w:r w:rsidR="005B3B4E">
        <w:rPr>
          <w:rFonts w:asciiTheme="minorHAnsi" w:hAnsiTheme="minorHAnsi" w:cstheme="minorHAnsi"/>
          <w:sz w:val="26"/>
          <w:szCs w:val="26"/>
        </w:rPr>
        <w:t xml:space="preserve"> and Ms. Stephens’ claims could proceed.  There </w:t>
      </w:r>
      <w:r w:rsidR="00401D5E">
        <w:rPr>
          <w:rFonts w:asciiTheme="minorHAnsi" w:hAnsiTheme="minorHAnsi" w:cstheme="minorHAnsi"/>
          <w:sz w:val="26"/>
          <w:szCs w:val="26"/>
        </w:rPr>
        <w:t>was</w:t>
      </w:r>
      <w:r w:rsidR="005B3B4E">
        <w:rPr>
          <w:rFonts w:asciiTheme="minorHAnsi" w:hAnsiTheme="minorHAnsi" w:cstheme="minorHAnsi"/>
          <w:sz w:val="26"/>
          <w:szCs w:val="26"/>
        </w:rPr>
        <w:t xml:space="preserve"> a longstanding conflict among the Federal Circuit Courts of Appeal as </w:t>
      </w:r>
      <w:r w:rsidR="00124ABF">
        <w:rPr>
          <w:rFonts w:asciiTheme="minorHAnsi" w:hAnsiTheme="minorHAnsi" w:cstheme="minorHAnsi"/>
          <w:sz w:val="26"/>
          <w:szCs w:val="26"/>
        </w:rPr>
        <w:t xml:space="preserve">to </w:t>
      </w:r>
      <w:r w:rsidR="005B3B4E">
        <w:rPr>
          <w:rFonts w:asciiTheme="minorHAnsi" w:hAnsiTheme="minorHAnsi" w:cstheme="minorHAnsi"/>
          <w:sz w:val="26"/>
          <w:szCs w:val="26"/>
        </w:rPr>
        <w:t xml:space="preserve">whether LGBTQ claims are actionable as </w:t>
      </w:r>
      <w:r w:rsidR="000C01C1">
        <w:rPr>
          <w:rFonts w:asciiTheme="minorHAnsi" w:hAnsiTheme="minorHAnsi" w:cstheme="minorHAnsi"/>
          <w:sz w:val="26"/>
          <w:szCs w:val="26"/>
        </w:rPr>
        <w:t>“</w:t>
      </w:r>
      <w:r w:rsidR="005B3B4E">
        <w:rPr>
          <w:rFonts w:asciiTheme="minorHAnsi" w:hAnsiTheme="minorHAnsi" w:cstheme="minorHAnsi"/>
          <w:sz w:val="26"/>
          <w:szCs w:val="26"/>
        </w:rPr>
        <w:t>sex</w:t>
      </w:r>
      <w:r w:rsidR="000C01C1">
        <w:rPr>
          <w:rFonts w:asciiTheme="minorHAnsi" w:hAnsiTheme="minorHAnsi" w:cstheme="minorHAnsi"/>
          <w:sz w:val="26"/>
          <w:szCs w:val="26"/>
        </w:rPr>
        <w:t>”</w:t>
      </w:r>
      <w:r w:rsidR="005B3B4E">
        <w:rPr>
          <w:rFonts w:asciiTheme="minorHAnsi" w:hAnsiTheme="minorHAnsi" w:cstheme="minorHAnsi"/>
          <w:sz w:val="26"/>
          <w:szCs w:val="26"/>
        </w:rPr>
        <w:t xml:space="preserve"> discrimination under Title VII, and the U.S. Supreme Court finally agreed to address the conflict by consolidating and hearing these three cases.</w:t>
      </w:r>
    </w:p>
    <w:p w14:paraId="024A4DE3" w14:textId="779AACD1" w:rsidR="005B3B4E" w:rsidRDefault="005B3B4E" w:rsidP="00A97E93">
      <w:pPr>
        <w:pStyle w:val="NormalWeb"/>
        <w:spacing w:before="0" w:beforeAutospacing="0" w:after="0" w:afterAutospacing="0" w:line="259" w:lineRule="auto"/>
        <w:jc w:val="both"/>
        <w:rPr>
          <w:rFonts w:asciiTheme="minorHAnsi" w:hAnsiTheme="minorHAnsi" w:cstheme="minorHAnsi"/>
          <w:sz w:val="26"/>
          <w:szCs w:val="26"/>
        </w:rPr>
      </w:pPr>
    </w:p>
    <w:p w14:paraId="03E4C658" w14:textId="35CFAF14" w:rsidR="005B3B4E" w:rsidRDefault="00124ABF" w:rsidP="00A97E93">
      <w:pPr>
        <w:pStyle w:val="NormalWeb"/>
        <w:spacing w:before="0" w:beforeAutospacing="0" w:after="0" w:afterAutospacing="0" w:line="259" w:lineRule="auto"/>
        <w:jc w:val="both"/>
        <w:rPr>
          <w:rFonts w:asciiTheme="minorHAnsi" w:hAnsiTheme="minorHAnsi" w:cstheme="minorHAnsi"/>
          <w:sz w:val="26"/>
          <w:szCs w:val="26"/>
        </w:rPr>
      </w:pPr>
      <w:r>
        <w:rPr>
          <w:rFonts w:asciiTheme="minorHAnsi" w:hAnsiTheme="minorHAnsi" w:cstheme="minorHAnsi"/>
          <w:sz w:val="26"/>
          <w:szCs w:val="26"/>
        </w:rPr>
        <w:lastRenderedPageBreak/>
        <w:t>Title VII makes it unlawful for an employer to fire a worker “or otherwise discriminate against any individual . . . because of such individual’s race, color, religion, sex, or national origin.”  42 U.S.C. §</w:t>
      </w:r>
      <w:r w:rsidR="0099341A">
        <w:rPr>
          <w:rFonts w:asciiTheme="minorHAnsi" w:hAnsiTheme="minorHAnsi" w:cstheme="minorHAnsi"/>
          <w:sz w:val="26"/>
          <w:szCs w:val="26"/>
        </w:rPr>
        <w:t>2000e-2(a)(1).</w:t>
      </w:r>
      <w:r w:rsidR="006944B5">
        <w:rPr>
          <w:rFonts w:asciiTheme="minorHAnsi" w:hAnsiTheme="minorHAnsi" w:cstheme="minorHAnsi"/>
          <w:sz w:val="26"/>
          <w:szCs w:val="26"/>
        </w:rPr>
        <w:t xml:space="preserve">  The parties acknowledged that the term “sex” in 1964 referred to biological distinctions between male</w:t>
      </w:r>
      <w:r w:rsidR="00EE618C">
        <w:rPr>
          <w:rFonts w:asciiTheme="minorHAnsi" w:hAnsiTheme="minorHAnsi" w:cstheme="minorHAnsi"/>
          <w:sz w:val="26"/>
          <w:szCs w:val="26"/>
        </w:rPr>
        <w:t>s</w:t>
      </w:r>
      <w:r w:rsidR="006944B5">
        <w:rPr>
          <w:rFonts w:asciiTheme="minorHAnsi" w:hAnsiTheme="minorHAnsi" w:cstheme="minorHAnsi"/>
          <w:sz w:val="26"/>
          <w:szCs w:val="26"/>
        </w:rPr>
        <w:t xml:space="preserve"> and female</w:t>
      </w:r>
      <w:r w:rsidR="00EE618C">
        <w:rPr>
          <w:rFonts w:asciiTheme="minorHAnsi" w:hAnsiTheme="minorHAnsi" w:cstheme="minorHAnsi"/>
          <w:sz w:val="26"/>
          <w:szCs w:val="26"/>
        </w:rPr>
        <w:t>s</w:t>
      </w:r>
      <w:r w:rsidR="006944B5">
        <w:rPr>
          <w:rFonts w:asciiTheme="minorHAnsi" w:hAnsiTheme="minorHAnsi" w:cstheme="minorHAnsi"/>
          <w:sz w:val="26"/>
          <w:szCs w:val="26"/>
        </w:rPr>
        <w:t xml:space="preserve">.  But the employers argued that few in 1964 would have expected Title VII to apply to discrimination against </w:t>
      </w:r>
      <w:r w:rsidR="00EE618C">
        <w:rPr>
          <w:rFonts w:asciiTheme="minorHAnsi" w:hAnsiTheme="minorHAnsi" w:cstheme="minorHAnsi"/>
          <w:sz w:val="26"/>
          <w:szCs w:val="26"/>
        </w:rPr>
        <w:t>gay</w:t>
      </w:r>
      <w:r w:rsidR="006944B5">
        <w:rPr>
          <w:rFonts w:asciiTheme="minorHAnsi" w:hAnsiTheme="minorHAnsi" w:cstheme="minorHAnsi"/>
          <w:sz w:val="26"/>
          <w:szCs w:val="26"/>
        </w:rPr>
        <w:t xml:space="preserve"> and transgender persons.  </w:t>
      </w:r>
      <w:r w:rsidR="00993C18">
        <w:rPr>
          <w:rFonts w:asciiTheme="minorHAnsi" w:hAnsiTheme="minorHAnsi" w:cstheme="minorHAnsi"/>
          <w:sz w:val="26"/>
          <w:szCs w:val="26"/>
        </w:rPr>
        <w:t>In a 6-3 decision, t</w:t>
      </w:r>
      <w:r w:rsidR="006944B5">
        <w:rPr>
          <w:rFonts w:asciiTheme="minorHAnsi" w:hAnsiTheme="minorHAnsi" w:cstheme="minorHAnsi"/>
          <w:sz w:val="26"/>
          <w:szCs w:val="26"/>
        </w:rPr>
        <w:t>he Court refused to give any weight to</w:t>
      </w:r>
      <w:r w:rsidR="00993C18">
        <w:rPr>
          <w:rFonts w:asciiTheme="minorHAnsi" w:hAnsiTheme="minorHAnsi" w:cstheme="minorHAnsi"/>
          <w:sz w:val="26"/>
          <w:szCs w:val="26"/>
        </w:rPr>
        <w:t xml:space="preserve"> that argument.  Writing for the Court’s majority, Justice Gorsuch – joined by Chief Justice Roberts and Justices Ginsburg, Breyer, Sotomayor, and Kagan – held that the law must be applied as written when, as here, the statute is not ambiguous.  The Court also rejected arguments that other factors besides sex contributed to the employment decision, or that the employer treated women as a group the same when compared to men as a group.  The key point was that the employers </w:t>
      </w:r>
      <w:r w:rsidR="005D26B9">
        <w:rPr>
          <w:rFonts w:asciiTheme="minorHAnsi" w:hAnsiTheme="minorHAnsi" w:cstheme="minorHAnsi"/>
          <w:sz w:val="26"/>
          <w:szCs w:val="26"/>
        </w:rPr>
        <w:t xml:space="preserve">had </w:t>
      </w:r>
      <w:r w:rsidR="00993C18">
        <w:rPr>
          <w:rFonts w:asciiTheme="minorHAnsi" w:hAnsiTheme="minorHAnsi" w:cstheme="minorHAnsi"/>
          <w:sz w:val="26"/>
          <w:szCs w:val="26"/>
        </w:rPr>
        <w:t xml:space="preserve">intentionally relied in part on the </w:t>
      </w:r>
      <w:r w:rsidR="005D26B9">
        <w:rPr>
          <w:rFonts w:asciiTheme="minorHAnsi" w:hAnsiTheme="minorHAnsi" w:cstheme="minorHAnsi"/>
          <w:sz w:val="26"/>
          <w:szCs w:val="26"/>
        </w:rPr>
        <w:t>person</w:t>
      </w:r>
      <w:r w:rsidR="00993C18">
        <w:rPr>
          <w:rFonts w:asciiTheme="minorHAnsi" w:hAnsiTheme="minorHAnsi" w:cstheme="minorHAnsi"/>
          <w:sz w:val="26"/>
          <w:szCs w:val="26"/>
        </w:rPr>
        <w:t>’s sex when deciding whether to fire the</w:t>
      </w:r>
      <w:r w:rsidR="005D26B9">
        <w:rPr>
          <w:rFonts w:asciiTheme="minorHAnsi" w:hAnsiTheme="minorHAnsi" w:cstheme="minorHAnsi"/>
          <w:sz w:val="26"/>
          <w:szCs w:val="26"/>
        </w:rPr>
        <w:t>m</w:t>
      </w:r>
      <w:r w:rsidR="00993C18">
        <w:rPr>
          <w:rFonts w:asciiTheme="minorHAnsi" w:hAnsiTheme="minorHAnsi" w:cstheme="minorHAnsi"/>
          <w:sz w:val="26"/>
          <w:szCs w:val="26"/>
        </w:rPr>
        <w:t>, and this violates Title VII.</w:t>
      </w:r>
    </w:p>
    <w:p w14:paraId="7CE9562B" w14:textId="1E9BA749" w:rsidR="00E0100E" w:rsidRDefault="00E0100E" w:rsidP="00A97E93">
      <w:pPr>
        <w:pStyle w:val="NormalWeb"/>
        <w:spacing w:before="0" w:beforeAutospacing="0" w:after="0" w:afterAutospacing="0" w:line="259" w:lineRule="auto"/>
        <w:jc w:val="both"/>
        <w:rPr>
          <w:rFonts w:asciiTheme="minorHAnsi" w:hAnsiTheme="minorHAnsi" w:cstheme="minorHAnsi"/>
          <w:sz w:val="26"/>
          <w:szCs w:val="26"/>
        </w:rPr>
      </w:pPr>
    </w:p>
    <w:p w14:paraId="546D5224" w14:textId="35D1652E" w:rsidR="00E0100E" w:rsidRPr="004F579F" w:rsidRDefault="00E0100E" w:rsidP="00A97E93">
      <w:pPr>
        <w:pStyle w:val="NormalWeb"/>
        <w:spacing w:before="0" w:beforeAutospacing="0" w:after="0" w:afterAutospacing="0" w:line="259" w:lineRule="auto"/>
        <w:jc w:val="both"/>
        <w:rPr>
          <w:rFonts w:asciiTheme="minorHAnsi" w:hAnsiTheme="minorHAnsi" w:cstheme="minorHAnsi"/>
          <w:sz w:val="26"/>
          <w:szCs w:val="26"/>
        </w:rPr>
      </w:pPr>
      <w:r>
        <w:rPr>
          <w:rFonts w:asciiTheme="minorHAnsi" w:hAnsiTheme="minorHAnsi" w:cstheme="minorHAnsi"/>
          <w:sz w:val="26"/>
          <w:szCs w:val="26"/>
        </w:rPr>
        <w:t xml:space="preserve">In at least one of the cases – the lead case – the employee was a public sector worker.  Title VII is the nation’s foremost Civil Rights law and protects employees from unlawful discrimination.  This case </w:t>
      </w:r>
      <w:r w:rsidR="00EE618C">
        <w:rPr>
          <w:rFonts w:asciiTheme="minorHAnsi" w:hAnsiTheme="minorHAnsi" w:cstheme="minorHAnsi"/>
          <w:sz w:val="26"/>
          <w:szCs w:val="26"/>
        </w:rPr>
        <w:t>affirms</w:t>
      </w:r>
      <w:r>
        <w:rPr>
          <w:rFonts w:asciiTheme="minorHAnsi" w:hAnsiTheme="minorHAnsi" w:cstheme="minorHAnsi"/>
          <w:sz w:val="26"/>
          <w:szCs w:val="26"/>
        </w:rPr>
        <w:t xml:space="preserve"> that the Court will continue to enforce the law’s core protection of equal employment opportunity in the workplace.  </w:t>
      </w:r>
      <w:r w:rsidR="004F579F">
        <w:rPr>
          <w:rFonts w:asciiTheme="minorHAnsi" w:hAnsiTheme="minorHAnsi" w:cstheme="minorHAnsi"/>
          <w:sz w:val="26"/>
          <w:szCs w:val="26"/>
        </w:rPr>
        <w:t xml:space="preserve">Public employers cannot use a person’s sex as a basis for an adverse employment action.  </w:t>
      </w:r>
      <w:r w:rsidR="004F579F" w:rsidRPr="008E1F0B">
        <w:rPr>
          <w:rFonts w:asciiTheme="minorHAnsi" w:hAnsiTheme="minorHAnsi" w:cstheme="minorHAnsi"/>
          <w:i/>
          <w:iCs/>
          <w:sz w:val="26"/>
          <w:szCs w:val="26"/>
        </w:rPr>
        <w:t>Bostock</w:t>
      </w:r>
      <w:r w:rsidR="004F579F">
        <w:rPr>
          <w:rFonts w:asciiTheme="minorHAnsi" w:hAnsiTheme="minorHAnsi" w:cstheme="minorHAnsi"/>
          <w:sz w:val="26"/>
          <w:szCs w:val="26"/>
        </w:rPr>
        <w:t xml:space="preserve"> now makes it clear that </w:t>
      </w:r>
      <w:r w:rsidR="001446E8">
        <w:rPr>
          <w:rFonts w:asciiTheme="minorHAnsi" w:hAnsiTheme="minorHAnsi" w:cstheme="minorHAnsi"/>
          <w:sz w:val="26"/>
          <w:szCs w:val="26"/>
        </w:rPr>
        <w:t>“sex”</w:t>
      </w:r>
      <w:r w:rsidR="004F579F">
        <w:rPr>
          <w:rFonts w:asciiTheme="minorHAnsi" w:hAnsiTheme="minorHAnsi" w:cstheme="minorHAnsi"/>
          <w:sz w:val="26"/>
          <w:szCs w:val="26"/>
        </w:rPr>
        <w:t xml:space="preserve"> </w:t>
      </w:r>
      <w:r w:rsidR="000C01C1">
        <w:rPr>
          <w:rFonts w:asciiTheme="minorHAnsi" w:hAnsiTheme="minorHAnsi" w:cstheme="minorHAnsi"/>
          <w:sz w:val="26"/>
          <w:szCs w:val="26"/>
        </w:rPr>
        <w:t xml:space="preserve">includes sexual orientation.  This </w:t>
      </w:r>
      <w:r w:rsidR="004F579F">
        <w:rPr>
          <w:rFonts w:asciiTheme="minorHAnsi" w:hAnsiTheme="minorHAnsi" w:cstheme="minorHAnsi"/>
          <w:sz w:val="26"/>
          <w:szCs w:val="26"/>
        </w:rPr>
        <w:t xml:space="preserve">is </w:t>
      </w:r>
      <w:r w:rsidR="000C01C1">
        <w:rPr>
          <w:rFonts w:asciiTheme="minorHAnsi" w:hAnsiTheme="minorHAnsi" w:cstheme="minorHAnsi"/>
          <w:sz w:val="26"/>
          <w:szCs w:val="26"/>
        </w:rPr>
        <w:t xml:space="preserve">now </w:t>
      </w:r>
      <w:r w:rsidR="004F579F">
        <w:rPr>
          <w:rFonts w:asciiTheme="minorHAnsi" w:hAnsiTheme="minorHAnsi" w:cstheme="minorHAnsi"/>
          <w:sz w:val="26"/>
          <w:szCs w:val="26"/>
        </w:rPr>
        <w:t>the law in all 50 states.</w:t>
      </w:r>
    </w:p>
    <w:p w14:paraId="797E5139" w14:textId="77777777" w:rsidR="00192092" w:rsidRPr="00A2569A" w:rsidRDefault="00192092" w:rsidP="00A97E93">
      <w:pPr>
        <w:pStyle w:val="NormalWeb"/>
        <w:spacing w:before="0" w:beforeAutospacing="0" w:after="0" w:afterAutospacing="0" w:line="259" w:lineRule="auto"/>
        <w:jc w:val="both"/>
        <w:rPr>
          <w:rFonts w:asciiTheme="minorHAnsi" w:hAnsiTheme="minorHAnsi" w:cstheme="minorHAnsi"/>
          <w:sz w:val="26"/>
          <w:szCs w:val="26"/>
        </w:rPr>
      </w:pPr>
    </w:p>
    <w:p w14:paraId="4AAC0C5F" w14:textId="15088F10" w:rsidR="003A375C" w:rsidRDefault="00F27B3C" w:rsidP="00C504C1">
      <w:pPr>
        <w:pStyle w:val="NormalWeb"/>
        <w:spacing w:before="0" w:beforeAutospacing="0" w:after="0" w:afterAutospacing="0" w:line="259" w:lineRule="auto"/>
        <w:jc w:val="both"/>
        <w:rPr>
          <w:rFonts w:asciiTheme="minorHAnsi" w:hAnsiTheme="minorHAnsi" w:cstheme="minorHAnsi"/>
          <w:sz w:val="26"/>
          <w:szCs w:val="26"/>
        </w:rPr>
      </w:pPr>
      <w:r w:rsidRPr="00A2569A">
        <w:rPr>
          <w:rFonts w:asciiTheme="minorHAnsi" w:hAnsiTheme="minorHAnsi" w:cstheme="minorHAnsi"/>
          <w:b/>
          <w:bCs/>
          <w:sz w:val="26"/>
          <w:szCs w:val="26"/>
          <w:u w:val="single"/>
        </w:rPr>
        <w:t>Age Discrimination</w:t>
      </w:r>
      <w:r w:rsidR="00C504C1" w:rsidRPr="00A2569A">
        <w:rPr>
          <w:rFonts w:asciiTheme="minorHAnsi" w:hAnsiTheme="minorHAnsi" w:cstheme="minorHAnsi"/>
          <w:sz w:val="26"/>
          <w:szCs w:val="26"/>
        </w:rPr>
        <w:t xml:space="preserve">:  </w:t>
      </w:r>
      <w:r w:rsidR="00814E11">
        <w:rPr>
          <w:rFonts w:asciiTheme="minorHAnsi" w:hAnsiTheme="minorHAnsi" w:cstheme="minorHAnsi"/>
          <w:sz w:val="26"/>
          <w:szCs w:val="26"/>
        </w:rPr>
        <w:t xml:space="preserve">Similarly, in </w:t>
      </w:r>
      <w:r w:rsidRPr="00814E11">
        <w:rPr>
          <w:rFonts w:asciiTheme="minorHAnsi" w:hAnsiTheme="minorHAnsi" w:cstheme="minorHAnsi"/>
          <w:i/>
          <w:iCs/>
          <w:sz w:val="26"/>
          <w:szCs w:val="26"/>
        </w:rPr>
        <w:t xml:space="preserve">Babb v. </w:t>
      </w:r>
      <w:proofErr w:type="spellStart"/>
      <w:r w:rsidRPr="00814E11">
        <w:rPr>
          <w:rFonts w:asciiTheme="minorHAnsi" w:hAnsiTheme="minorHAnsi" w:cstheme="minorHAnsi"/>
          <w:i/>
          <w:iCs/>
          <w:sz w:val="26"/>
          <w:szCs w:val="26"/>
        </w:rPr>
        <w:t>Wilkie</w:t>
      </w:r>
      <w:proofErr w:type="spellEnd"/>
      <w:r w:rsidR="00814E11">
        <w:rPr>
          <w:rFonts w:asciiTheme="minorHAnsi" w:hAnsiTheme="minorHAnsi" w:cstheme="minorHAnsi"/>
          <w:sz w:val="26"/>
          <w:szCs w:val="26"/>
        </w:rPr>
        <w:t>, the Court reinforced the protections of</w:t>
      </w:r>
      <w:r w:rsidR="006871E7">
        <w:rPr>
          <w:rFonts w:asciiTheme="minorHAnsi" w:hAnsiTheme="minorHAnsi" w:cstheme="minorHAnsi"/>
          <w:sz w:val="26"/>
          <w:szCs w:val="26"/>
        </w:rPr>
        <w:t xml:space="preserve"> another civil rights law –</w:t>
      </w:r>
      <w:r w:rsidR="00814E11">
        <w:rPr>
          <w:rFonts w:asciiTheme="minorHAnsi" w:hAnsiTheme="minorHAnsi" w:cstheme="minorHAnsi"/>
          <w:sz w:val="26"/>
          <w:szCs w:val="26"/>
        </w:rPr>
        <w:t xml:space="preserve"> t</w:t>
      </w:r>
      <w:r w:rsidR="000C0A1C">
        <w:rPr>
          <w:rFonts w:asciiTheme="minorHAnsi" w:hAnsiTheme="minorHAnsi" w:cstheme="minorHAnsi"/>
          <w:color w:val="122D3E"/>
          <w:sz w:val="26"/>
          <w:szCs w:val="26"/>
          <w:shd w:val="clear" w:color="auto" w:fill="FFFFFF"/>
        </w:rPr>
        <w:t xml:space="preserve">he </w:t>
      </w:r>
      <w:r w:rsidR="006267F9">
        <w:rPr>
          <w:rFonts w:asciiTheme="minorHAnsi" w:hAnsiTheme="minorHAnsi" w:cstheme="minorHAnsi"/>
          <w:color w:val="122D3E"/>
          <w:sz w:val="26"/>
          <w:szCs w:val="26"/>
          <w:shd w:val="clear" w:color="auto" w:fill="FFFFFF"/>
        </w:rPr>
        <w:t>Age Discrimination in Employment Act of 1967</w:t>
      </w:r>
      <w:r w:rsidR="00A2569A" w:rsidRPr="00A2569A">
        <w:rPr>
          <w:rFonts w:asciiTheme="minorHAnsi" w:hAnsiTheme="minorHAnsi" w:cstheme="minorHAnsi"/>
          <w:color w:val="122D3E"/>
          <w:sz w:val="26"/>
          <w:szCs w:val="26"/>
          <w:shd w:val="clear" w:color="auto" w:fill="FFFFFF"/>
        </w:rPr>
        <w:t xml:space="preserve"> </w:t>
      </w:r>
      <w:r w:rsidR="006871E7">
        <w:rPr>
          <w:rFonts w:asciiTheme="minorHAnsi" w:hAnsiTheme="minorHAnsi" w:cstheme="minorHAnsi"/>
          <w:color w:val="122D3E"/>
          <w:sz w:val="26"/>
          <w:szCs w:val="26"/>
          <w:shd w:val="clear" w:color="auto" w:fill="FFFFFF"/>
        </w:rPr>
        <w:t>– i</w:t>
      </w:r>
      <w:r w:rsidR="00814E11">
        <w:rPr>
          <w:rFonts w:asciiTheme="minorHAnsi" w:hAnsiTheme="minorHAnsi" w:cstheme="minorHAnsi"/>
          <w:color w:val="122D3E"/>
          <w:sz w:val="26"/>
          <w:szCs w:val="26"/>
          <w:shd w:val="clear" w:color="auto" w:fill="FFFFFF"/>
        </w:rPr>
        <w:t xml:space="preserve">n holding that </w:t>
      </w:r>
      <w:r w:rsidR="00A2569A" w:rsidRPr="00A2569A">
        <w:rPr>
          <w:rFonts w:asciiTheme="minorHAnsi" w:hAnsiTheme="minorHAnsi" w:cstheme="minorHAnsi"/>
          <w:color w:val="122D3E"/>
          <w:sz w:val="26"/>
          <w:szCs w:val="26"/>
          <w:shd w:val="clear" w:color="auto" w:fill="FFFFFF"/>
        </w:rPr>
        <w:t xml:space="preserve">personnel actions </w:t>
      </w:r>
      <w:r w:rsidR="00814E11">
        <w:rPr>
          <w:rFonts w:asciiTheme="minorHAnsi" w:hAnsiTheme="minorHAnsi" w:cstheme="minorHAnsi"/>
          <w:color w:val="122D3E"/>
          <w:sz w:val="26"/>
          <w:szCs w:val="26"/>
          <w:shd w:val="clear" w:color="auto" w:fill="FFFFFF"/>
        </w:rPr>
        <w:t xml:space="preserve">must </w:t>
      </w:r>
      <w:r w:rsidR="00A2569A" w:rsidRPr="00A2569A">
        <w:rPr>
          <w:rFonts w:asciiTheme="minorHAnsi" w:hAnsiTheme="minorHAnsi" w:cstheme="minorHAnsi"/>
          <w:color w:val="122D3E"/>
          <w:sz w:val="26"/>
          <w:szCs w:val="26"/>
          <w:shd w:val="clear" w:color="auto" w:fill="FFFFFF"/>
        </w:rPr>
        <w:t>be untainted by any consideration of age</w:t>
      </w:r>
      <w:r w:rsidR="006267F9">
        <w:rPr>
          <w:rFonts w:asciiTheme="minorHAnsi" w:hAnsiTheme="minorHAnsi" w:cstheme="minorHAnsi"/>
          <w:color w:val="122D3E"/>
          <w:sz w:val="26"/>
          <w:szCs w:val="26"/>
          <w:shd w:val="clear" w:color="auto" w:fill="FFFFFF"/>
        </w:rPr>
        <w:t xml:space="preserve">.  </w:t>
      </w:r>
      <w:r w:rsidR="00DE0B81">
        <w:rPr>
          <w:rFonts w:asciiTheme="minorHAnsi" w:hAnsiTheme="minorHAnsi" w:cstheme="minorHAnsi"/>
          <w:color w:val="122D3E"/>
          <w:sz w:val="26"/>
          <w:szCs w:val="26"/>
          <w:shd w:val="clear" w:color="auto" w:fill="FFFFFF"/>
        </w:rPr>
        <w:t xml:space="preserve">Like </w:t>
      </w:r>
      <w:r w:rsidR="00DE0B81" w:rsidRPr="008E1F0B">
        <w:rPr>
          <w:rFonts w:asciiTheme="minorHAnsi" w:hAnsiTheme="minorHAnsi" w:cstheme="minorHAnsi"/>
          <w:i/>
          <w:iCs/>
          <w:sz w:val="26"/>
          <w:szCs w:val="26"/>
        </w:rPr>
        <w:t>Bostock</w:t>
      </w:r>
      <w:r w:rsidR="00DE0B81">
        <w:rPr>
          <w:rFonts w:asciiTheme="minorHAnsi" w:hAnsiTheme="minorHAnsi" w:cstheme="minorHAnsi"/>
          <w:sz w:val="26"/>
          <w:szCs w:val="26"/>
        </w:rPr>
        <w:t>,</w:t>
      </w:r>
      <w:r w:rsidR="00DE0B81">
        <w:rPr>
          <w:rFonts w:asciiTheme="minorHAnsi" w:hAnsiTheme="minorHAnsi" w:cstheme="minorHAnsi"/>
          <w:color w:val="122D3E"/>
          <w:sz w:val="26"/>
          <w:szCs w:val="26"/>
          <w:shd w:val="clear" w:color="auto" w:fill="FFFFFF"/>
        </w:rPr>
        <w:t xml:space="preserve"> </w:t>
      </w:r>
      <w:proofErr w:type="spellStart"/>
      <w:r w:rsidR="00913A29">
        <w:rPr>
          <w:rFonts w:asciiTheme="minorHAnsi" w:hAnsiTheme="minorHAnsi" w:cstheme="minorHAnsi"/>
          <w:color w:val="122D3E"/>
          <w:sz w:val="26"/>
          <w:szCs w:val="26"/>
          <w:shd w:val="clear" w:color="auto" w:fill="FFFFFF"/>
        </w:rPr>
        <w:t>Noris</w:t>
      </w:r>
      <w:proofErr w:type="spellEnd"/>
      <w:r w:rsidR="00913A29">
        <w:rPr>
          <w:rFonts w:asciiTheme="minorHAnsi" w:hAnsiTheme="minorHAnsi" w:cstheme="minorHAnsi"/>
          <w:color w:val="122D3E"/>
          <w:sz w:val="26"/>
          <w:szCs w:val="26"/>
          <w:shd w:val="clear" w:color="auto" w:fill="FFFFFF"/>
        </w:rPr>
        <w:t xml:space="preserve"> Babb was a </w:t>
      </w:r>
      <w:r w:rsidR="00DE0B81">
        <w:rPr>
          <w:rFonts w:asciiTheme="minorHAnsi" w:hAnsiTheme="minorHAnsi" w:cstheme="minorHAnsi"/>
          <w:color w:val="122D3E"/>
          <w:sz w:val="26"/>
          <w:szCs w:val="26"/>
          <w:shd w:val="clear" w:color="auto" w:fill="FFFFFF"/>
        </w:rPr>
        <w:t xml:space="preserve">public sector worker.  He was a </w:t>
      </w:r>
      <w:r w:rsidR="00913A29">
        <w:rPr>
          <w:rFonts w:asciiTheme="minorHAnsi" w:hAnsiTheme="minorHAnsi" w:cstheme="minorHAnsi"/>
          <w:color w:val="122D3E"/>
          <w:sz w:val="26"/>
          <w:szCs w:val="26"/>
          <w:shd w:val="clear" w:color="auto" w:fill="FFFFFF"/>
        </w:rPr>
        <w:t>clinical pharmacist at a U.S. Department of Veterans Affairs Medical Center.  He sued the VA for age discrimination under the ADEA,</w:t>
      </w:r>
      <w:r w:rsidR="00913A29">
        <w:rPr>
          <w:rFonts w:asciiTheme="minorHAnsi" w:hAnsiTheme="minorHAnsi" w:cstheme="minorHAnsi"/>
          <w:sz w:val="26"/>
          <w:szCs w:val="26"/>
        </w:rPr>
        <w:t xml:space="preserve"> which says that personnel actions affecting individuals aged 40 and older “shall be made free from any discrimination based on age.” </w:t>
      </w:r>
      <w:r w:rsidR="00F57F1B">
        <w:rPr>
          <w:rFonts w:asciiTheme="minorHAnsi" w:hAnsiTheme="minorHAnsi" w:cstheme="minorHAnsi"/>
          <w:color w:val="122D3E"/>
          <w:sz w:val="26"/>
          <w:szCs w:val="26"/>
          <w:shd w:val="clear" w:color="auto" w:fill="FFFFFF"/>
        </w:rPr>
        <w:t xml:space="preserve">29 U.S.C. </w:t>
      </w:r>
      <w:r w:rsidR="00F57F1B">
        <w:rPr>
          <w:rFonts w:asciiTheme="minorHAnsi" w:hAnsiTheme="minorHAnsi" w:cstheme="minorHAnsi"/>
          <w:sz w:val="26"/>
          <w:szCs w:val="26"/>
        </w:rPr>
        <w:t xml:space="preserve">§633a(a).  </w:t>
      </w:r>
      <w:r w:rsidR="00913A29">
        <w:rPr>
          <w:rFonts w:asciiTheme="minorHAnsi" w:hAnsiTheme="minorHAnsi" w:cstheme="minorHAnsi"/>
          <w:sz w:val="26"/>
          <w:szCs w:val="26"/>
        </w:rPr>
        <w:t xml:space="preserve">The VA argued that </w:t>
      </w:r>
      <w:r w:rsidR="003A375C">
        <w:rPr>
          <w:rFonts w:asciiTheme="minorHAnsi" w:hAnsiTheme="minorHAnsi" w:cstheme="minorHAnsi"/>
          <w:sz w:val="26"/>
          <w:szCs w:val="26"/>
        </w:rPr>
        <w:t>factors other than age supported the personnel actions, and the District Court agreed, dismissing Babb’s lawsuit.  Babb appealed, arguing that the ADEA’s protections are b</w:t>
      </w:r>
      <w:r w:rsidR="00103786">
        <w:rPr>
          <w:rFonts w:asciiTheme="minorHAnsi" w:hAnsiTheme="minorHAnsi" w:cstheme="minorHAnsi"/>
          <w:sz w:val="26"/>
          <w:szCs w:val="26"/>
        </w:rPr>
        <w:t>r</w:t>
      </w:r>
      <w:r w:rsidR="003A375C">
        <w:rPr>
          <w:rFonts w:asciiTheme="minorHAnsi" w:hAnsiTheme="minorHAnsi" w:cstheme="minorHAnsi"/>
          <w:sz w:val="26"/>
          <w:szCs w:val="26"/>
        </w:rPr>
        <w:t xml:space="preserve">oader than merely those instances where age is a “but-for cause” of the personnel action.  The Eleventh Circuit Court of Appeals disagreed, but the U.S. Supreme Court </w:t>
      </w:r>
      <w:r w:rsidR="00103786">
        <w:rPr>
          <w:rFonts w:asciiTheme="minorHAnsi" w:hAnsiTheme="minorHAnsi" w:cstheme="minorHAnsi"/>
          <w:sz w:val="26"/>
          <w:szCs w:val="26"/>
        </w:rPr>
        <w:t xml:space="preserve">agreed with Babb and </w:t>
      </w:r>
      <w:r w:rsidR="003A375C">
        <w:rPr>
          <w:rFonts w:asciiTheme="minorHAnsi" w:hAnsiTheme="minorHAnsi" w:cstheme="minorHAnsi"/>
          <w:sz w:val="26"/>
          <w:szCs w:val="26"/>
        </w:rPr>
        <w:t xml:space="preserve">reinstated </w:t>
      </w:r>
      <w:r w:rsidR="00103786">
        <w:rPr>
          <w:rFonts w:asciiTheme="minorHAnsi" w:hAnsiTheme="minorHAnsi" w:cstheme="minorHAnsi"/>
          <w:sz w:val="26"/>
          <w:szCs w:val="26"/>
        </w:rPr>
        <w:t>hi</w:t>
      </w:r>
      <w:r w:rsidR="003A375C">
        <w:rPr>
          <w:rFonts w:asciiTheme="minorHAnsi" w:hAnsiTheme="minorHAnsi" w:cstheme="minorHAnsi"/>
          <w:sz w:val="26"/>
          <w:szCs w:val="26"/>
        </w:rPr>
        <w:t>s lawsuit.</w:t>
      </w:r>
    </w:p>
    <w:p w14:paraId="1673D259" w14:textId="77777777" w:rsidR="003A375C" w:rsidRDefault="003A375C" w:rsidP="00C504C1">
      <w:pPr>
        <w:pStyle w:val="NormalWeb"/>
        <w:spacing w:before="0" w:beforeAutospacing="0" w:after="0" w:afterAutospacing="0" w:line="259" w:lineRule="auto"/>
        <w:jc w:val="both"/>
        <w:rPr>
          <w:rFonts w:asciiTheme="minorHAnsi" w:hAnsiTheme="minorHAnsi" w:cstheme="minorHAnsi"/>
          <w:sz w:val="26"/>
          <w:szCs w:val="26"/>
        </w:rPr>
      </w:pPr>
    </w:p>
    <w:p w14:paraId="6EFC0EA8" w14:textId="7AF5E5B4" w:rsidR="001B66D0" w:rsidRPr="001B66D0" w:rsidRDefault="003A375C" w:rsidP="00C504C1">
      <w:pPr>
        <w:pStyle w:val="NormalWeb"/>
        <w:spacing w:before="0" w:beforeAutospacing="0" w:after="0" w:afterAutospacing="0" w:line="259" w:lineRule="auto"/>
        <w:jc w:val="both"/>
        <w:rPr>
          <w:rFonts w:asciiTheme="minorHAnsi" w:hAnsiTheme="minorHAnsi" w:cstheme="minorHAnsi"/>
          <w:sz w:val="26"/>
          <w:szCs w:val="26"/>
        </w:rPr>
      </w:pPr>
      <w:r>
        <w:rPr>
          <w:rFonts w:asciiTheme="minorHAnsi" w:hAnsiTheme="minorHAnsi" w:cstheme="minorHAnsi"/>
          <w:sz w:val="26"/>
          <w:szCs w:val="26"/>
        </w:rPr>
        <w:lastRenderedPageBreak/>
        <w:t>In an 8 – 1 decision, written by Justice Alito, the Court held that the ADEA’s protections are broader than mere “but-for” causation.  The Court said that</w:t>
      </w:r>
      <w:r w:rsidR="00103786">
        <w:rPr>
          <w:rFonts w:asciiTheme="minorHAnsi" w:hAnsiTheme="minorHAnsi" w:cstheme="minorHAnsi"/>
          <w:sz w:val="26"/>
          <w:szCs w:val="26"/>
        </w:rPr>
        <w:t xml:space="preserve"> the</w:t>
      </w:r>
      <w:r>
        <w:rPr>
          <w:rFonts w:asciiTheme="minorHAnsi" w:hAnsiTheme="minorHAnsi" w:cstheme="minorHAnsi"/>
          <w:sz w:val="26"/>
          <w:szCs w:val="26"/>
        </w:rPr>
        <w:t xml:space="preserve"> statute “demands that personnel actions be untainted by </w:t>
      </w:r>
      <w:r w:rsidRPr="003A375C">
        <w:rPr>
          <w:rFonts w:asciiTheme="minorHAnsi" w:hAnsiTheme="minorHAnsi" w:cstheme="minorHAnsi"/>
          <w:i/>
          <w:iCs/>
          <w:sz w:val="26"/>
          <w:szCs w:val="26"/>
        </w:rPr>
        <w:t>any</w:t>
      </w:r>
      <w:r>
        <w:rPr>
          <w:rFonts w:asciiTheme="minorHAnsi" w:hAnsiTheme="minorHAnsi" w:cstheme="minorHAnsi"/>
          <w:sz w:val="26"/>
          <w:szCs w:val="26"/>
        </w:rPr>
        <w:t xml:space="preserve"> consideration of age.” (emphasis added)     </w:t>
      </w:r>
      <w:r>
        <w:rPr>
          <w:rFonts w:asciiTheme="minorHAnsi" w:hAnsiTheme="minorHAnsi" w:cstheme="minorHAnsi"/>
          <w:color w:val="122D3E"/>
          <w:sz w:val="26"/>
          <w:szCs w:val="26"/>
          <w:shd w:val="clear" w:color="auto" w:fill="FFFFFF"/>
        </w:rPr>
        <w:t xml:space="preserve">The Court held that, in order to </w:t>
      </w:r>
      <w:r w:rsidRPr="00A2569A">
        <w:rPr>
          <w:rFonts w:asciiTheme="minorHAnsi" w:hAnsiTheme="minorHAnsi" w:cstheme="minorHAnsi"/>
          <w:color w:val="122D3E"/>
          <w:sz w:val="26"/>
          <w:szCs w:val="26"/>
          <w:shd w:val="clear" w:color="auto" w:fill="FFFFFF"/>
        </w:rPr>
        <w:t>obtain reinstatement</w:t>
      </w:r>
      <w:r w:rsidR="00980C94">
        <w:rPr>
          <w:rFonts w:asciiTheme="minorHAnsi" w:hAnsiTheme="minorHAnsi" w:cstheme="minorHAnsi"/>
          <w:color w:val="122D3E"/>
          <w:sz w:val="26"/>
          <w:szCs w:val="26"/>
          <w:shd w:val="clear" w:color="auto" w:fill="FFFFFF"/>
        </w:rPr>
        <w:t xml:space="preserve"> or</w:t>
      </w:r>
      <w:r w:rsidRPr="00A2569A">
        <w:rPr>
          <w:rFonts w:asciiTheme="minorHAnsi" w:hAnsiTheme="minorHAnsi" w:cstheme="minorHAnsi"/>
          <w:color w:val="122D3E"/>
          <w:sz w:val="26"/>
          <w:szCs w:val="26"/>
          <w:shd w:val="clear" w:color="auto" w:fill="FFFFFF"/>
        </w:rPr>
        <w:t xml:space="preserve"> damages, a</w:t>
      </w:r>
      <w:r>
        <w:rPr>
          <w:rFonts w:asciiTheme="minorHAnsi" w:hAnsiTheme="minorHAnsi" w:cstheme="minorHAnsi"/>
          <w:color w:val="122D3E"/>
          <w:sz w:val="26"/>
          <w:szCs w:val="26"/>
          <w:shd w:val="clear" w:color="auto" w:fill="FFFFFF"/>
        </w:rPr>
        <w:t xml:space="preserve"> person must </w:t>
      </w:r>
      <w:r w:rsidRPr="00A2569A">
        <w:rPr>
          <w:rFonts w:asciiTheme="minorHAnsi" w:hAnsiTheme="minorHAnsi" w:cstheme="minorHAnsi"/>
          <w:color w:val="122D3E"/>
          <w:sz w:val="26"/>
          <w:szCs w:val="26"/>
          <w:shd w:val="clear" w:color="auto" w:fill="FFFFFF"/>
        </w:rPr>
        <w:t xml:space="preserve">show that </w:t>
      </w:r>
      <w:r w:rsidR="00787FC3">
        <w:rPr>
          <w:rFonts w:asciiTheme="minorHAnsi" w:hAnsiTheme="minorHAnsi" w:cstheme="minorHAnsi"/>
          <w:color w:val="122D3E"/>
          <w:sz w:val="26"/>
          <w:szCs w:val="26"/>
          <w:shd w:val="clear" w:color="auto" w:fill="FFFFFF"/>
        </w:rPr>
        <w:t>the</w:t>
      </w:r>
      <w:r w:rsidR="00902100">
        <w:rPr>
          <w:rFonts w:asciiTheme="minorHAnsi" w:hAnsiTheme="minorHAnsi" w:cstheme="minorHAnsi"/>
          <w:color w:val="122D3E"/>
          <w:sz w:val="26"/>
          <w:szCs w:val="26"/>
          <w:shd w:val="clear" w:color="auto" w:fill="FFFFFF"/>
        </w:rPr>
        <w:t xml:space="preserve"> decision</w:t>
      </w:r>
      <w:r w:rsidRPr="00A2569A">
        <w:rPr>
          <w:rFonts w:asciiTheme="minorHAnsi" w:hAnsiTheme="minorHAnsi" w:cstheme="minorHAnsi"/>
          <w:color w:val="122D3E"/>
          <w:sz w:val="26"/>
          <w:szCs w:val="26"/>
          <w:shd w:val="clear" w:color="auto" w:fill="FFFFFF"/>
        </w:rPr>
        <w:t xml:space="preserve"> would have been different if</w:t>
      </w:r>
      <w:r>
        <w:rPr>
          <w:rFonts w:asciiTheme="minorHAnsi" w:hAnsiTheme="minorHAnsi" w:cstheme="minorHAnsi"/>
          <w:color w:val="122D3E"/>
          <w:sz w:val="26"/>
          <w:szCs w:val="26"/>
          <w:shd w:val="clear" w:color="auto" w:fill="FFFFFF"/>
        </w:rPr>
        <w:t xml:space="preserve"> the employer had not taken</w:t>
      </w:r>
      <w:r w:rsidRPr="00A2569A">
        <w:rPr>
          <w:rFonts w:asciiTheme="minorHAnsi" w:hAnsiTheme="minorHAnsi" w:cstheme="minorHAnsi"/>
          <w:color w:val="122D3E"/>
          <w:sz w:val="26"/>
          <w:szCs w:val="26"/>
          <w:shd w:val="clear" w:color="auto" w:fill="FFFFFF"/>
        </w:rPr>
        <w:t xml:space="preserve"> age into account</w:t>
      </w:r>
      <w:r w:rsidR="00103786">
        <w:rPr>
          <w:rFonts w:asciiTheme="minorHAnsi" w:hAnsiTheme="minorHAnsi" w:cstheme="minorHAnsi"/>
          <w:color w:val="122D3E"/>
          <w:sz w:val="26"/>
          <w:szCs w:val="26"/>
          <w:shd w:val="clear" w:color="auto" w:fill="FFFFFF"/>
        </w:rPr>
        <w:t xml:space="preserve"> (the traditional “but-for” standard).  B</w:t>
      </w:r>
      <w:r w:rsidRPr="00A2569A">
        <w:rPr>
          <w:rFonts w:asciiTheme="minorHAnsi" w:hAnsiTheme="minorHAnsi" w:cstheme="minorHAnsi"/>
          <w:color w:val="122D3E"/>
          <w:sz w:val="26"/>
          <w:szCs w:val="26"/>
          <w:shd w:val="clear" w:color="auto" w:fill="FFFFFF"/>
        </w:rPr>
        <w:t xml:space="preserve">ut </w:t>
      </w:r>
      <w:r w:rsidR="00980C94">
        <w:rPr>
          <w:rFonts w:asciiTheme="minorHAnsi" w:hAnsiTheme="minorHAnsi" w:cstheme="minorHAnsi"/>
          <w:color w:val="122D3E"/>
          <w:sz w:val="26"/>
          <w:szCs w:val="26"/>
          <w:shd w:val="clear" w:color="auto" w:fill="FFFFFF"/>
        </w:rPr>
        <w:t xml:space="preserve">one can still pursue a claim </w:t>
      </w:r>
      <w:r w:rsidRPr="00A2569A">
        <w:rPr>
          <w:rFonts w:asciiTheme="minorHAnsi" w:hAnsiTheme="minorHAnsi" w:cstheme="minorHAnsi"/>
          <w:color w:val="122D3E"/>
          <w:sz w:val="26"/>
          <w:szCs w:val="26"/>
          <w:shd w:val="clear" w:color="auto" w:fill="FFFFFF"/>
        </w:rPr>
        <w:t>if age played a lesser part in the decision</w:t>
      </w:r>
      <w:r w:rsidR="00DB538B">
        <w:rPr>
          <w:rFonts w:asciiTheme="minorHAnsi" w:hAnsiTheme="minorHAnsi" w:cstheme="minorHAnsi"/>
          <w:color w:val="122D3E"/>
          <w:sz w:val="26"/>
          <w:szCs w:val="26"/>
          <w:shd w:val="clear" w:color="auto" w:fill="FFFFFF"/>
        </w:rPr>
        <w:t xml:space="preserve"> (</w:t>
      </w:r>
      <w:r w:rsidR="00980C94">
        <w:rPr>
          <w:rFonts w:asciiTheme="minorHAnsi" w:hAnsiTheme="minorHAnsi" w:cstheme="minorHAnsi"/>
          <w:color w:val="122D3E"/>
          <w:sz w:val="26"/>
          <w:szCs w:val="26"/>
          <w:shd w:val="clear" w:color="auto" w:fill="FFFFFF"/>
        </w:rPr>
        <w:t xml:space="preserve">though </w:t>
      </w:r>
      <w:r w:rsidR="00DB538B">
        <w:rPr>
          <w:rFonts w:asciiTheme="minorHAnsi" w:hAnsiTheme="minorHAnsi" w:cstheme="minorHAnsi"/>
          <w:color w:val="122D3E"/>
          <w:sz w:val="26"/>
          <w:szCs w:val="26"/>
          <w:shd w:val="clear" w:color="auto" w:fill="FFFFFF"/>
        </w:rPr>
        <w:t>it is</w:t>
      </w:r>
      <w:r w:rsidR="00980C94">
        <w:rPr>
          <w:rFonts w:asciiTheme="minorHAnsi" w:hAnsiTheme="minorHAnsi" w:cstheme="minorHAnsi"/>
          <w:color w:val="122D3E"/>
          <w:sz w:val="26"/>
          <w:szCs w:val="26"/>
          <w:shd w:val="clear" w:color="auto" w:fill="FFFFFF"/>
        </w:rPr>
        <w:t xml:space="preserve"> not clear what o</w:t>
      </w:r>
      <w:r w:rsidR="00980C94" w:rsidRPr="00A2569A">
        <w:rPr>
          <w:rFonts w:asciiTheme="minorHAnsi" w:hAnsiTheme="minorHAnsi" w:cstheme="minorHAnsi"/>
          <w:color w:val="122D3E"/>
          <w:sz w:val="26"/>
          <w:szCs w:val="26"/>
          <w:shd w:val="clear" w:color="auto" w:fill="FFFFFF"/>
        </w:rPr>
        <w:t>ther re</w:t>
      </w:r>
      <w:r w:rsidR="00980C94">
        <w:rPr>
          <w:rFonts w:asciiTheme="minorHAnsi" w:hAnsiTheme="minorHAnsi" w:cstheme="minorHAnsi"/>
          <w:color w:val="122D3E"/>
          <w:sz w:val="26"/>
          <w:szCs w:val="26"/>
          <w:shd w:val="clear" w:color="auto" w:fill="FFFFFF"/>
        </w:rPr>
        <w:t>medies</w:t>
      </w:r>
      <w:r w:rsidR="00980C94" w:rsidRPr="00A2569A">
        <w:rPr>
          <w:rFonts w:asciiTheme="minorHAnsi" w:hAnsiTheme="minorHAnsi" w:cstheme="minorHAnsi"/>
          <w:color w:val="122D3E"/>
          <w:sz w:val="26"/>
          <w:szCs w:val="26"/>
          <w:shd w:val="clear" w:color="auto" w:fill="FFFFFF"/>
        </w:rPr>
        <w:t xml:space="preserve"> </w:t>
      </w:r>
      <w:r w:rsidR="00980C94">
        <w:rPr>
          <w:rFonts w:asciiTheme="minorHAnsi" w:hAnsiTheme="minorHAnsi" w:cstheme="minorHAnsi"/>
          <w:color w:val="122D3E"/>
          <w:sz w:val="26"/>
          <w:szCs w:val="26"/>
          <w:shd w:val="clear" w:color="auto" w:fill="FFFFFF"/>
        </w:rPr>
        <w:t>are</w:t>
      </w:r>
      <w:r w:rsidR="00980C94" w:rsidRPr="00A2569A">
        <w:rPr>
          <w:rFonts w:asciiTheme="minorHAnsi" w:hAnsiTheme="minorHAnsi" w:cstheme="minorHAnsi"/>
          <w:color w:val="122D3E"/>
          <w:sz w:val="26"/>
          <w:szCs w:val="26"/>
          <w:shd w:val="clear" w:color="auto" w:fill="FFFFFF"/>
        </w:rPr>
        <w:t xml:space="preserve"> a</w:t>
      </w:r>
      <w:r w:rsidR="00980C94">
        <w:rPr>
          <w:rFonts w:asciiTheme="minorHAnsi" w:hAnsiTheme="minorHAnsi" w:cstheme="minorHAnsi"/>
          <w:color w:val="122D3E"/>
          <w:sz w:val="26"/>
          <w:szCs w:val="26"/>
          <w:shd w:val="clear" w:color="auto" w:fill="FFFFFF"/>
        </w:rPr>
        <w:t>vailable</w:t>
      </w:r>
      <w:r w:rsidR="00DB538B">
        <w:rPr>
          <w:rFonts w:asciiTheme="minorHAnsi" w:hAnsiTheme="minorHAnsi" w:cstheme="minorHAnsi"/>
          <w:color w:val="122D3E"/>
          <w:sz w:val="26"/>
          <w:szCs w:val="26"/>
          <w:shd w:val="clear" w:color="auto" w:fill="FFFFFF"/>
        </w:rPr>
        <w:t xml:space="preserve"> in these instances)</w:t>
      </w:r>
      <w:r w:rsidRPr="00A2569A">
        <w:rPr>
          <w:rFonts w:asciiTheme="minorHAnsi" w:hAnsiTheme="minorHAnsi" w:cstheme="minorHAnsi"/>
          <w:color w:val="122D3E"/>
          <w:sz w:val="26"/>
          <w:szCs w:val="26"/>
          <w:shd w:val="clear" w:color="auto" w:fill="FFFFFF"/>
        </w:rPr>
        <w:t>.</w:t>
      </w:r>
      <w:r w:rsidR="00FD3B85">
        <w:rPr>
          <w:rFonts w:asciiTheme="minorHAnsi" w:hAnsiTheme="minorHAnsi" w:cstheme="minorHAnsi"/>
          <w:color w:val="122D3E"/>
          <w:sz w:val="26"/>
          <w:szCs w:val="26"/>
          <w:shd w:val="clear" w:color="auto" w:fill="FFFFFF"/>
        </w:rPr>
        <w:t xml:space="preserve">  </w:t>
      </w:r>
      <w:r w:rsidR="001B66D0">
        <w:rPr>
          <w:rFonts w:asciiTheme="minorHAnsi" w:hAnsiTheme="minorHAnsi" w:cstheme="minorHAnsi"/>
          <w:color w:val="122D3E"/>
          <w:sz w:val="26"/>
          <w:szCs w:val="26"/>
          <w:shd w:val="clear" w:color="auto" w:fill="FFFFFF"/>
        </w:rPr>
        <w:t>S</w:t>
      </w:r>
      <w:r w:rsidR="00DB538B">
        <w:rPr>
          <w:rFonts w:asciiTheme="minorHAnsi" w:hAnsiTheme="minorHAnsi" w:cstheme="minorHAnsi"/>
          <w:color w:val="122D3E"/>
          <w:sz w:val="26"/>
          <w:szCs w:val="26"/>
          <w:shd w:val="clear" w:color="auto" w:fill="FFFFFF"/>
        </w:rPr>
        <w:t>till, s</w:t>
      </w:r>
      <w:r w:rsidR="001B66D0">
        <w:rPr>
          <w:rFonts w:asciiTheme="minorHAnsi" w:hAnsiTheme="minorHAnsi" w:cstheme="minorHAnsi"/>
          <w:color w:val="122D3E"/>
          <w:sz w:val="26"/>
          <w:szCs w:val="26"/>
          <w:shd w:val="clear" w:color="auto" w:fill="FFFFFF"/>
        </w:rPr>
        <w:t xml:space="preserve">ome lower courts – including in this case – regularly dismissed </w:t>
      </w:r>
      <w:r w:rsidR="00103786">
        <w:rPr>
          <w:rFonts w:asciiTheme="minorHAnsi" w:hAnsiTheme="minorHAnsi" w:cstheme="minorHAnsi"/>
          <w:color w:val="122D3E"/>
          <w:sz w:val="26"/>
          <w:szCs w:val="26"/>
          <w:shd w:val="clear" w:color="auto" w:fill="FFFFFF"/>
        </w:rPr>
        <w:t>lawsuits</w:t>
      </w:r>
      <w:r w:rsidR="001B66D0">
        <w:rPr>
          <w:rFonts w:asciiTheme="minorHAnsi" w:hAnsiTheme="minorHAnsi" w:cstheme="minorHAnsi"/>
          <w:color w:val="122D3E"/>
          <w:sz w:val="26"/>
          <w:szCs w:val="26"/>
          <w:shd w:val="clear" w:color="auto" w:fill="FFFFFF"/>
        </w:rPr>
        <w:t xml:space="preserve"> </w:t>
      </w:r>
      <w:r w:rsidR="00103786">
        <w:rPr>
          <w:rFonts w:asciiTheme="minorHAnsi" w:hAnsiTheme="minorHAnsi" w:cstheme="minorHAnsi"/>
          <w:color w:val="122D3E"/>
          <w:sz w:val="26"/>
          <w:szCs w:val="26"/>
          <w:shd w:val="clear" w:color="auto" w:fill="FFFFFF"/>
        </w:rPr>
        <w:t xml:space="preserve">because </w:t>
      </w:r>
      <w:r w:rsidR="001B66D0">
        <w:rPr>
          <w:rFonts w:asciiTheme="minorHAnsi" w:hAnsiTheme="minorHAnsi" w:cstheme="minorHAnsi"/>
          <w:color w:val="122D3E"/>
          <w:sz w:val="26"/>
          <w:szCs w:val="26"/>
          <w:shd w:val="clear" w:color="auto" w:fill="FFFFFF"/>
        </w:rPr>
        <w:t>the</w:t>
      </w:r>
      <w:r w:rsidR="00902100">
        <w:rPr>
          <w:rFonts w:asciiTheme="minorHAnsi" w:hAnsiTheme="minorHAnsi" w:cstheme="minorHAnsi"/>
          <w:color w:val="122D3E"/>
          <w:sz w:val="26"/>
          <w:szCs w:val="26"/>
          <w:shd w:val="clear" w:color="auto" w:fill="FFFFFF"/>
        </w:rPr>
        <w:t xml:space="preserve"> courts found that the</w:t>
      </w:r>
      <w:r w:rsidR="001B66D0">
        <w:rPr>
          <w:rFonts w:asciiTheme="minorHAnsi" w:hAnsiTheme="minorHAnsi" w:cstheme="minorHAnsi"/>
          <w:color w:val="122D3E"/>
          <w:sz w:val="26"/>
          <w:szCs w:val="26"/>
          <w:shd w:val="clear" w:color="auto" w:fill="FFFFFF"/>
        </w:rPr>
        <w:t xml:space="preserve"> employer would have taken the same action regardless of age.  </w:t>
      </w:r>
      <w:r w:rsidR="00902100">
        <w:rPr>
          <w:rFonts w:asciiTheme="minorHAnsi" w:hAnsiTheme="minorHAnsi" w:cstheme="minorHAnsi"/>
          <w:color w:val="122D3E"/>
          <w:sz w:val="26"/>
          <w:szCs w:val="26"/>
          <w:shd w:val="clear" w:color="auto" w:fill="FFFFFF"/>
        </w:rPr>
        <w:t>T</w:t>
      </w:r>
      <w:r w:rsidR="001B66D0">
        <w:rPr>
          <w:rFonts w:asciiTheme="minorHAnsi" w:hAnsiTheme="minorHAnsi" w:cstheme="minorHAnsi"/>
          <w:color w:val="122D3E"/>
          <w:sz w:val="26"/>
          <w:szCs w:val="26"/>
          <w:shd w:val="clear" w:color="auto" w:fill="FFFFFF"/>
        </w:rPr>
        <w:t xml:space="preserve">he Court said this </w:t>
      </w:r>
      <w:r w:rsidR="00902100">
        <w:rPr>
          <w:rFonts w:asciiTheme="minorHAnsi" w:hAnsiTheme="minorHAnsi" w:cstheme="minorHAnsi"/>
          <w:color w:val="122D3E"/>
          <w:sz w:val="26"/>
          <w:szCs w:val="26"/>
          <w:shd w:val="clear" w:color="auto" w:fill="FFFFFF"/>
        </w:rPr>
        <w:t>i</w:t>
      </w:r>
      <w:r w:rsidR="001B66D0">
        <w:rPr>
          <w:rFonts w:asciiTheme="minorHAnsi" w:hAnsiTheme="minorHAnsi" w:cstheme="minorHAnsi"/>
          <w:color w:val="122D3E"/>
          <w:sz w:val="26"/>
          <w:szCs w:val="26"/>
          <w:shd w:val="clear" w:color="auto" w:fill="FFFFFF"/>
        </w:rPr>
        <w:t xml:space="preserve">s not correct.  As with </w:t>
      </w:r>
      <w:r w:rsidR="001B66D0" w:rsidRPr="008E1F0B">
        <w:rPr>
          <w:rFonts w:asciiTheme="minorHAnsi" w:hAnsiTheme="minorHAnsi" w:cstheme="minorHAnsi"/>
          <w:i/>
          <w:iCs/>
          <w:sz w:val="26"/>
          <w:szCs w:val="26"/>
        </w:rPr>
        <w:t>Bostock</w:t>
      </w:r>
      <w:r w:rsidR="001B66D0">
        <w:rPr>
          <w:rFonts w:asciiTheme="minorHAnsi" w:hAnsiTheme="minorHAnsi" w:cstheme="minorHAnsi"/>
          <w:sz w:val="26"/>
          <w:szCs w:val="26"/>
        </w:rPr>
        <w:t>, the Court said the law must be enforced as written.</w:t>
      </w:r>
      <w:r w:rsidR="00EE618C">
        <w:rPr>
          <w:rFonts w:asciiTheme="minorHAnsi" w:hAnsiTheme="minorHAnsi" w:cstheme="minorHAnsi"/>
          <w:sz w:val="26"/>
          <w:szCs w:val="26"/>
        </w:rPr>
        <w:t xml:space="preserve">  </w:t>
      </w:r>
      <w:r w:rsidR="001B66D0">
        <w:rPr>
          <w:rFonts w:asciiTheme="minorHAnsi" w:hAnsiTheme="minorHAnsi" w:cstheme="minorHAnsi"/>
          <w:sz w:val="26"/>
          <w:szCs w:val="26"/>
        </w:rPr>
        <w:t xml:space="preserve">This case is a landmark departure from the Court’s prior rulings under the ADEA.  Employees regularly found it difficult to prove </w:t>
      </w:r>
      <w:r w:rsidR="002C2479">
        <w:rPr>
          <w:rFonts w:asciiTheme="minorHAnsi" w:hAnsiTheme="minorHAnsi" w:cstheme="minorHAnsi"/>
          <w:sz w:val="26"/>
          <w:szCs w:val="26"/>
        </w:rPr>
        <w:t xml:space="preserve">“but-for” causation – </w:t>
      </w:r>
      <w:r w:rsidR="002C2479" w:rsidRPr="00264755">
        <w:rPr>
          <w:rFonts w:asciiTheme="minorHAnsi" w:hAnsiTheme="minorHAnsi" w:cstheme="minorHAnsi"/>
          <w:i/>
          <w:iCs/>
          <w:sz w:val="26"/>
          <w:szCs w:val="26"/>
        </w:rPr>
        <w:t>i.e.</w:t>
      </w:r>
      <w:r w:rsidR="002C2479">
        <w:rPr>
          <w:rFonts w:asciiTheme="minorHAnsi" w:hAnsiTheme="minorHAnsi" w:cstheme="minorHAnsi"/>
          <w:sz w:val="26"/>
          <w:szCs w:val="26"/>
        </w:rPr>
        <w:t xml:space="preserve"> </w:t>
      </w:r>
      <w:r w:rsidR="001B66D0">
        <w:rPr>
          <w:rFonts w:asciiTheme="minorHAnsi" w:hAnsiTheme="minorHAnsi" w:cstheme="minorHAnsi"/>
          <w:sz w:val="26"/>
          <w:szCs w:val="26"/>
        </w:rPr>
        <w:t xml:space="preserve">that the employer’s justification was pretext for unlawful age discrimination.  This case now makes it clear that age </w:t>
      </w:r>
      <w:r w:rsidR="002C2479">
        <w:rPr>
          <w:rFonts w:asciiTheme="minorHAnsi" w:hAnsiTheme="minorHAnsi" w:cstheme="minorHAnsi"/>
          <w:sz w:val="26"/>
          <w:szCs w:val="26"/>
        </w:rPr>
        <w:t>can</w:t>
      </w:r>
      <w:r w:rsidR="001B66D0">
        <w:rPr>
          <w:rFonts w:asciiTheme="minorHAnsi" w:hAnsiTheme="minorHAnsi" w:cstheme="minorHAnsi"/>
          <w:sz w:val="26"/>
          <w:szCs w:val="26"/>
        </w:rPr>
        <w:t>not be</w:t>
      </w:r>
      <w:r w:rsidR="005D5CBD">
        <w:rPr>
          <w:rFonts w:asciiTheme="minorHAnsi" w:hAnsiTheme="minorHAnsi" w:cstheme="minorHAnsi"/>
          <w:sz w:val="26"/>
          <w:szCs w:val="26"/>
        </w:rPr>
        <w:t xml:space="preserve"> considered as</w:t>
      </w:r>
      <w:r w:rsidR="001B66D0">
        <w:rPr>
          <w:rFonts w:asciiTheme="minorHAnsi" w:hAnsiTheme="minorHAnsi" w:cstheme="minorHAnsi"/>
          <w:sz w:val="26"/>
          <w:szCs w:val="26"/>
        </w:rPr>
        <w:t xml:space="preserve"> a factor at all.  The </w:t>
      </w:r>
      <w:r w:rsidR="005D5CBD">
        <w:rPr>
          <w:rFonts w:asciiTheme="minorHAnsi" w:hAnsiTheme="minorHAnsi" w:cstheme="minorHAnsi"/>
          <w:sz w:val="26"/>
          <w:szCs w:val="26"/>
        </w:rPr>
        <w:t xml:space="preserve">Court’s </w:t>
      </w:r>
      <w:r w:rsidR="0063116A">
        <w:rPr>
          <w:rFonts w:asciiTheme="minorHAnsi" w:hAnsiTheme="minorHAnsi" w:cstheme="minorHAnsi"/>
          <w:sz w:val="26"/>
          <w:szCs w:val="26"/>
        </w:rPr>
        <w:t>ruling</w:t>
      </w:r>
      <w:r w:rsidR="002C2479">
        <w:rPr>
          <w:rFonts w:asciiTheme="minorHAnsi" w:hAnsiTheme="minorHAnsi" w:cstheme="minorHAnsi"/>
          <w:sz w:val="26"/>
          <w:szCs w:val="26"/>
        </w:rPr>
        <w:t xml:space="preserve"> </w:t>
      </w:r>
      <w:r w:rsidR="005D5CBD">
        <w:rPr>
          <w:rFonts w:asciiTheme="minorHAnsi" w:hAnsiTheme="minorHAnsi" w:cstheme="minorHAnsi"/>
          <w:sz w:val="26"/>
          <w:szCs w:val="26"/>
        </w:rPr>
        <w:t xml:space="preserve">should </w:t>
      </w:r>
      <w:r w:rsidR="00D32339">
        <w:rPr>
          <w:rFonts w:asciiTheme="minorHAnsi" w:hAnsiTheme="minorHAnsi" w:cstheme="minorHAnsi"/>
          <w:sz w:val="26"/>
          <w:szCs w:val="26"/>
        </w:rPr>
        <w:t xml:space="preserve">cause </w:t>
      </w:r>
      <w:r w:rsidR="005D5CBD">
        <w:rPr>
          <w:rFonts w:asciiTheme="minorHAnsi" w:hAnsiTheme="minorHAnsi" w:cstheme="minorHAnsi"/>
          <w:sz w:val="26"/>
          <w:szCs w:val="26"/>
        </w:rPr>
        <w:t xml:space="preserve">employers </w:t>
      </w:r>
      <w:r w:rsidR="00D32339">
        <w:rPr>
          <w:rFonts w:asciiTheme="minorHAnsi" w:hAnsiTheme="minorHAnsi" w:cstheme="minorHAnsi"/>
          <w:sz w:val="26"/>
          <w:szCs w:val="26"/>
        </w:rPr>
        <w:t xml:space="preserve">to </w:t>
      </w:r>
      <w:r w:rsidR="0063116A">
        <w:rPr>
          <w:rFonts w:asciiTheme="minorHAnsi" w:hAnsiTheme="minorHAnsi" w:cstheme="minorHAnsi"/>
          <w:sz w:val="26"/>
          <w:szCs w:val="26"/>
        </w:rPr>
        <w:t>think twice before</w:t>
      </w:r>
      <w:r w:rsidR="00D32339">
        <w:rPr>
          <w:rFonts w:asciiTheme="minorHAnsi" w:hAnsiTheme="minorHAnsi" w:cstheme="minorHAnsi"/>
          <w:sz w:val="26"/>
          <w:szCs w:val="26"/>
        </w:rPr>
        <w:t xml:space="preserve"> using </w:t>
      </w:r>
      <w:r w:rsidR="005D5CBD">
        <w:rPr>
          <w:rFonts w:asciiTheme="minorHAnsi" w:hAnsiTheme="minorHAnsi" w:cstheme="minorHAnsi"/>
          <w:sz w:val="26"/>
          <w:szCs w:val="26"/>
        </w:rPr>
        <w:t xml:space="preserve">age </w:t>
      </w:r>
      <w:r w:rsidR="00D32339">
        <w:rPr>
          <w:rFonts w:asciiTheme="minorHAnsi" w:hAnsiTheme="minorHAnsi" w:cstheme="minorHAnsi"/>
          <w:sz w:val="26"/>
          <w:szCs w:val="26"/>
        </w:rPr>
        <w:t xml:space="preserve">as a factor in </w:t>
      </w:r>
      <w:r w:rsidR="0063116A">
        <w:rPr>
          <w:rFonts w:asciiTheme="minorHAnsi" w:hAnsiTheme="minorHAnsi" w:cstheme="minorHAnsi"/>
          <w:sz w:val="26"/>
          <w:szCs w:val="26"/>
        </w:rPr>
        <w:t>personnel</w:t>
      </w:r>
      <w:r w:rsidR="00D32339">
        <w:rPr>
          <w:rFonts w:asciiTheme="minorHAnsi" w:hAnsiTheme="minorHAnsi" w:cstheme="minorHAnsi"/>
          <w:sz w:val="26"/>
          <w:szCs w:val="26"/>
        </w:rPr>
        <w:t xml:space="preserve"> </w:t>
      </w:r>
      <w:r w:rsidR="001B66D0">
        <w:rPr>
          <w:rFonts w:asciiTheme="minorHAnsi" w:hAnsiTheme="minorHAnsi" w:cstheme="minorHAnsi"/>
          <w:sz w:val="26"/>
          <w:szCs w:val="26"/>
        </w:rPr>
        <w:t xml:space="preserve">decisions. </w:t>
      </w:r>
    </w:p>
    <w:p w14:paraId="6CF27878" w14:textId="77777777" w:rsidR="00063EF5" w:rsidRPr="00A2569A" w:rsidRDefault="00063EF5" w:rsidP="00C504C1">
      <w:pPr>
        <w:pStyle w:val="NormalWeb"/>
        <w:spacing w:before="0" w:beforeAutospacing="0" w:after="0" w:afterAutospacing="0" w:line="259" w:lineRule="auto"/>
        <w:jc w:val="both"/>
        <w:rPr>
          <w:rFonts w:asciiTheme="minorHAnsi" w:hAnsiTheme="minorHAnsi" w:cstheme="minorHAnsi"/>
          <w:sz w:val="26"/>
          <w:szCs w:val="26"/>
        </w:rPr>
      </w:pPr>
    </w:p>
    <w:p w14:paraId="5687C7B5" w14:textId="09E8896B" w:rsidR="00D637AF" w:rsidRDefault="00901ECF" w:rsidP="00826C1B">
      <w:pPr>
        <w:pStyle w:val="NormalWeb"/>
        <w:spacing w:before="0" w:beforeAutospacing="0" w:after="0" w:afterAutospacing="0" w:line="259" w:lineRule="auto"/>
        <w:jc w:val="both"/>
        <w:rPr>
          <w:rFonts w:asciiTheme="minorHAnsi" w:hAnsiTheme="minorHAnsi" w:cstheme="minorHAnsi"/>
          <w:sz w:val="26"/>
          <w:szCs w:val="26"/>
        </w:rPr>
      </w:pPr>
      <w:r>
        <w:rPr>
          <w:rFonts w:asciiTheme="minorHAnsi" w:hAnsiTheme="minorHAnsi" w:cstheme="minorHAnsi"/>
          <w:b/>
          <w:bCs/>
          <w:sz w:val="26"/>
          <w:szCs w:val="26"/>
          <w:u w:val="single"/>
        </w:rPr>
        <w:t xml:space="preserve">Employees at </w:t>
      </w:r>
      <w:r w:rsidR="00F27B3C" w:rsidRPr="00A2569A">
        <w:rPr>
          <w:rFonts w:asciiTheme="minorHAnsi" w:hAnsiTheme="minorHAnsi" w:cstheme="minorHAnsi"/>
          <w:b/>
          <w:bCs/>
          <w:sz w:val="26"/>
          <w:szCs w:val="26"/>
          <w:u w:val="single"/>
        </w:rPr>
        <w:t>Religious Institutions</w:t>
      </w:r>
      <w:r w:rsidR="00CC34A5" w:rsidRPr="00A2569A">
        <w:rPr>
          <w:rFonts w:asciiTheme="minorHAnsi" w:hAnsiTheme="minorHAnsi" w:cstheme="minorHAnsi"/>
          <w:sz w:val="26"/>
          <w:szCs w:val="26"/>
        </w:rPr>
        <w:t xml:space="preserve">:  </w:t>
      </w:r>
      <w:r>
        <w:rPr>
          <w:rFonts w:asciiTheme="minorHAnsi" w:hAnsiTheme="minorHAnsi" w:cstheme="minorHAnsi"/>
          <w:sz w:val="26"/>
          <w:szCs w:val="26"/>
        </w:rPr>
        <w:t xml:space="preserve">The Court’s term was not all good news for employees.  In </w:t>
      </w:r>
      <w:r w:rsidR="00F27B3C" w:rsidRPr="00901ECF">
        <w:rPr>
          <w:rFonts w:asciiTheme="minorHAnsi" w:hAnsiTheme="minorHAnsi" w:cstheme="minorHAnsi"/>
          <w:i/>
          <w:iCs/>
          <w:sz w:val="26"/>
          <w:szCs w:val="26"/>
        </w:rPr>
        <w:t xml:space="preserve">Our Lady of Guadalupe School v. Morrissey </w:t>
      </w:r>
      <w:proofErr w:type="spellStart"/>
      <w:r w:rsidR="00F27B3C" w:rsidRPr="00901ECF">
        <w:rPr>
          <w:rFonts w:asciiTheme="minorHAnsi" w:hAnsiTheme="minorHAnsi" w:cstheme="minorHAnsi"/>
          <w:i/>
          <w:iCs/>
          <w:sz w:val="26"/>
          <w:szCs w:val="26"/>
        </w:rPr>
        <w:t>Berru</w:t>
      </w:r>
      <w:proofErr w:type="spellEnd"/>
      <w:r>
        <w:rPr>
          <w:rFonts w:asciiTheme="minorHAnsi" w:hAnsiTheme="minorHAnsi" w:cstheme="minorHAnsi"/>
          <w:sz w:val="26"/>
          <w:szCs w:val="26"/>
        </w:rPr>
        <w:t xml:space="preserve">, the Court held that </w:t>
      </w:r>
      <w:r w:rsidRPr="00A2569A">
        <w:rPr>
          <w:rFonts w:asciiTheme="minorHAnsi" w:hAnsiTheme="minorHAnsi" w:cstheme="minorHAnsi"/>
          <w:color w:val="122D3E"/>
          <w:sz w:val="26"/>
          <w:szCs w:val="26"/>
          <w:shd w:val="clear" w:color="auto" w:fill="FFFFFF"/>
        </w:rPr>
        <w:t>private school teachers</w:t>
      </w:r>
      <w:r>
        <w:rPr>
          <w:rFonts w:asciiTheme="minorHAnsi" w:hAnsiTheme="minorHAnsi" w:cstheme="minorHAnsi"/>
          <w:color w:val="122D3E"/>
          <w:sz w:val="26"/>
          <w:szCs w:val="26"/>
          <w:shd w:val="clear" w:color="auto" w:fill="FFFFFF"/>
        </w:rPr>
        <w:t xml:space="preserve"> could not bring</w:t>
      </w:r>
      <w:r w:rsidRPr="00A2569A">
        <w:rPr>
          <w:rFonts w:asciiTheme="minorHAnsi" w:hAnsiTheme="minorHAnsi" w:cstheme="minorHAnsi"/>
          <w:color w:val="122D3E"/>
          <w:sz w:val="26"/>
          <w:szCs w:val="26"/>
          <w:shd w:val="clear" w:color="auto" w:fill="FFFFFF"/>
        </w:rPr>
        <w:t xml:space="preserve"> employment discrimination claims </w:t>
      </w:r>
      <w:r>
        <w:rPr>
          <w:rFonts w:asciiTheme="minorHAnsi" w:hAnsiTheme="minorHAnsi" w:cstheme="minorHAnsi"/>
          <w:color w:val="122D3E"/>
          <w:sz w:val="26"/>
          <w:szCs w:val="26"/>
          <w:shd w:val="clear" w:color="auto" w:fill="FFFFFF"/>
        </w:rPr>
        <w:t>against their religious institution employers</w:t>
      </w:r>
      <w:r w:rsidR="000702A7">
        <w:rPr>
          <w:rFonts w:asciiTheme="minorHAnsi" w:hAnsiTheme="minorHAnsi" w:cstheme="minorHAnsi"/>
          <w:color w:val="122D3E"/>
          <w:sz w:val="26"/>
          <w:szCs w:val="26"/>
          <w:shd w:val="clear" w:color="auto" w:fill="FFFFFF"/>
        </w:rPr>
        <w:t xml:space="preserve">.  According to the Court, </w:t>
      </w:r>
      <w:r>
        <w:rPr>
          <w:rFonts w:asciiTheme="minorHAnsi" w:hAnsiTheme="minorHAnsi" w:cstheme="minorHAnsi"/>
          <w:sz w:val="26"/>
          <w:szCs w:val="26"/>
        </w:rPr>
        <w:t>t</w:t>
      </w:r>
      <w:r w:rsidR="00A2569A" w:rsidRPr="00A2569A">
        <w:rPr>
          <w:rFonts w:asciiTheme="minorHAnsi" w:hAnsiTheme="minorHAnsi" w:cstheme="minorHAnsi"/>
          <w:color w:val="122D3E"/>
          <w:sz w:val="26"/>
          <w:szCs w:val="26"/>
          <w:shd w:val="clear" w:color="auto" w:fill="FFFFFF"/>
        </w:rPr>
        <w:t xml:space="preserve">he First Amendment </w:t>
      </w:r>
      <w:r>
        <w:rPr>
          <w:rFonts w:asciiTheme="minorHAnsi" w:hAnsiTheme="minorHAnsi" w:cstheme="minorHAnsi"/>
          <w:color w:val="122D3E"/>
          <w:sz w:val="26"/>
          <w:szCs w:val="26"/>
          <w:shd w:val="clear" w:color="auto" w:fill="FFFFFF"/>
        </w:rPr>
        <w:t>shields those institutions from lawsuits, at least</w:t>
      </w:r>
      <w:r w:rsidR="009137AA">
        <w:rPr>
          <w:rFonts w:asciiTheme="minorHAnsi" w:hAnsiTheme="minorHAnsi" w:cstheme="minorHAnsi"/>
          <w:color w:val="122D3E"/>
          <w:sz w:val="26"/>
          <w:szCs w:val="26"/>
          <w:shd w:val="clear" w:color="auto" w:fill="FFFFFF"/>
        </w:rPr>
        <w:t xml:space="preserve"> when those claims are brough</w:t>
      </w:r>
      <w:r w:rsidR="00264755">
        <w:rPr>
          <w:rFonts w:asciiTheme="minorHAnsi" w:hAnsiTheme="minorHAnsi" w:cstheme="minorHAnsi"/>
          <w:color w:val="122D3E"/>
          <w:sz w:val="26"/>
          <w:szCs w:val="26"/>
          <w:shd w:val="clear" w:color="auto" w:fill="FFFFFF"/>
        </w:rPr>
        <w:t>t</w:t>
      </w:r>
      <w:r w:rsidR="009137AA">
        <w:rPr>
          <w:rFonts w:asciiTheme="minorHAnsi" w:hAnsiTheme="minorHAnsi" w:cstheme="minorHAnsi"/>
          <w:color w:val="122D3E"/>
          <w:sz w:val="26"/>
          <w:szCs w:val="26"/>
          <w:shd w:val="clear" w:color="auto" w:fill="FFFFFF"/>
        </w:rPr>
        <w:t xml:space="preserve"> by</w:t>
      </w:r>
      <w:r>
        <w:rPr>
          <w:rFonts w:asciiTheme="minorHAnsi" w:hAnsiTheme="minorHAnsi" w:cstheme="minorHAnsi"/>
          <w:color w:val="122D3E"/>
          <w:sz w:val="26"/>
          <w:szCs w:val="26"/>
          <w:shd w:val="clear" w:color="auto" w:fill="FFFFFF"/>
        </w:rPr>
        <w:t xml:space="preserve"> teachers</w:t>
      </w:r>
      <w:r w:rsidR="00A2569A" w:rsidRPr="00A2569A">
        <w:rPr>
          <w:rFonts w:asciiTheme="minorHAnsi" w:hAnsiTheme="minorHAnsi" w:cstheme="minorHAnsi"/>
          <w:color w:val="122D3E"/>
          <w:sz w:val="26"/>
          <w:szCs w:val="26"/>
          <w:shd w:val="clear" w:color="auto" w:fill="FFFFFF"/>
        </w:rPr>
        <w:t xml:space="preserve"> </w:t>
      </w:r>
      <w:r>
        <w:rPr>
          <w:rFonts w:asciiTheme="minorHAnsi" w:hAnsiTheme="minorHAnsi" w:cstheme="minorHAnsi"/>
          <w:color w:val="122D3E"/>
          <w:sz w:val="26"/>
          <w:szCs w:val="26"/>
          <w:shd w:val="clear" w:color="auto" w:fill="FFFFFF"/>
        </w:rPr>
        <w:t>who</w:t>
      </w:r>
      <w:r w:rsidR="00DB538B">
        <w:rPr>
          <w:rFonts w:asciiTheme="minorHAnsi" w:hAnsiTheme="minorHAnsi" w:cstheme="minorHAnsi"/>
          <w:color w:val="122D3E"/>
          <w:sz w:val="26"/>
          <w:szCs w:val="26"/>
          <w:shd w:val="clear" w:color="auto" w:fill="FFFFFF"/>
        </w:rPr>
        <w:t>, in the employer’s opinion,</w:t>
      </w:r>
      <w:r>
        <w:rPr>
          <w:rFonts w:asciiTheme="minorHAnsi" w:hAnsiTheme="minorHAnsi" w:cstheme="minorHAnsi"/>
          <w:color w:val="122D3E"/>
          <w:sz w:val="26"/>
          <w:szCs w:val="26"/>
          <w:shd w:val="clear" w:color="auto" w:fill="FFFFFF"/>
        </w:rPr>
        <w:t xml:space="preserve"> </w:t>
      </w:r>
      <w:r w:rsidR="00A2569A" w:rsidRPr="00A2569A">
        <w:rPr>
          <w:rFonts w:asciiTheme="minorHAnsi" w:hAnsiTheme="minorHAnsi" w:cstheme="minorHAnsi"/>
          <w:color w:val="122D3E"/>
          <w:sz w:val="26"/>
          <w:szCs w:val="26"/>
          <w:shd w:val="clear" w:color="auto" w:fill="FFFFFF"/>
        </w:rPr>
        <w:t xml:space="preserve">perform </w:t>
      </w:r>
      <w:r w:rsidR="000102D4">
        <w:rPr>
          <w:rFonts w:asciiTheme="minorHAnsi" w:hAnsiTheme="minorHAnsi" w:cstheme="minorHAnsi"/>
          <w:color w:val="122D3E"/>
          <w:sz w:val="26"/>
          <w:szCs w:val="26"/>
          <w:shd w:val="clear" w:color="auto" w:fill="FFFFFF"/>
        </w:rPr>
        <w:t>“</w:t>
      </w:r>
      <w:r w:rsidR="00A2569A" w:rsidRPr="00A2569A">
        <w:rPr>
          <w:rFonts w:asciiTheme="minorHAnsi" w:hAnsiTheme="minorHAnsi" w:cstheme="minorHAnsi"/>
          <w:color w:val="122D3E"/>
          <w:sz w:val="26"/>
          <w:szCs w:val="26"/>
          <w:shd w:val="clear" w:color="auto" w:fill="FFFFFF"/>
        </w:rPr>
        <w:t>vital religious duties</w:t>
      </w:r>
      <w:r w:rsidR="000102D4">
        <w:rPr>
          <w:rFonts w:asciiTheme="minorHAnsi" w:hAnsiTheme="minorHAnsi" w:cstheme="minorHAnsi"/>
          <w:color w:val="122D3E"/>
          <w:sz w:val="26"/>
          <w:szCs w:val="26"/>
          <w:shd w:val="clear" w:color="auto" w:fill="FFFFFF"/>
        </w:rPr>
        <w:t>”</w:t>
      </w:r>
      <w:r w:rsidR="00A2569A" w:rsidRPr="00A2569A">
        <w:rPr>
          <w:rFonts w:asciiTheme="minorHAnsi" w:hAnsiTheme="minorHAnsi" w:cstheme="minorHAnsi"/>
          <w:color w:val="122D3E"/>
          <w:sz w:val="26"/>
          <w:szCs w:val="26"/>
          <w:shd w:val="clear" w:color="auto" w:fill="FFFFFF"/>
        </w:rPr>
        <w:t xml:space="preserve"> </w:t>
      </w:r>
      <w:r w:rsidR="00264755">
        <w:rPr>
          <w:rFonts w:asciiTheme="minorHAnsi" w:hAnsiTheme="minorHAnsi" w:cstheme="minorHAnsi"/>
          <w:color w:val="122D3E"/>
          <w:sz w:val="26"/>
          <w:szCs w:val="26"/>
          <w:shd w:val="clear" w:color="auto" w:fill="FFFFFF"/>
        </w:rPr>
        <w:t xml:space="preserve">such as </w:t>
      </w:r>
      <w:r w:rsidR="00A2569A" w:rsidRPr="00A2569A">
        <w:rPr>
          <w:rFonts w:asciiTheme="minorHAnsi" w:hAnsiTheme="minorHAnsi" w:cstheme="minorHAnsi"/>
          <w:color w:val="122D3E"/>
          <w:sz w:val="26"/>
          <w:szCs w:val="26"/>
          <w:shd w:val="clear" w:color="auto" w:fill="FFFFFF"/>
        </w:rPr>
        <w:t>educating students in the</w:t>
      </w:r>
      <w:r w:rsidR="009137AA">
        <w:rPr>
          <w:rFonts w:asciiTheme="minorHAnsi" w:hAnsiTheme="minorHAnsi" w:cstheme="minorHAnsi"/>
          <w:color w:val="122D3E"/>
          <w:sz w:val="26"/>
          <w:szCs w:val="26"/>
          <w:shd w:val="clear" w:color="auto" w:fill="FFFFFF"/>
        </w:rPr>
        <w:t>ir</w:t>
      </w:r>
      <w:r w:rsidR="00A2569A" w:rsidRPr="00A2569A">
        <w:rPr>
          <w:rFonts w:asciiTheme="minorHAnsi" w:hAnsiTheme="minorHAnsi" w:cstheme="minorHAnsi"/>
          <w:color w:val="122D3E"/>
          <w:sz w:val="26"/>
          <w:szCs w:val="26"/>
          <w:shd w:val="clear" w:color="auto" w:fill="FFFFFF"/>
        </w:rPr>
        <w:t xml:space="preserve"> faith.</w:t>
      </w:r>
      <w:r w:rsidR="00DB538B">
        <w:rPr>
          <w:rFonts w:asciiTheme="minorHAnsi" w:hAnsiTheme="minorHAnsi" w:cstheme="minorHAnsi"/>
          <w:color w:val="122D3E"/>
          <w:sz w:val="26"/>
          <w:szCs w:val="26"/>
          <w:shd w:val="clear" w:color="auto" w:fill="FFFFFF"/>
        </w:rPr>
        <w:t xml:space="preserve">  This is true even when the teacher is not of the religious faith of the school and when teaching </w:t>
      </w:r>
      <w:r w:rsidR="00505ADF">
        <w:rPr>
          <w:rFonts w:asciiTheme="minorHAnsi" w:hAnsiTheme="minorHAnsi" w:cstheme="minorHAnsi"/>
          <w:color w:val="122D3E"/>
          <w:sz w:val="26"/>
          <w:szCs w:val="26"/>
          <w:shd w:val="clear" w:color="auto" w:fill="FFFFFF"/>
        </w:rPr>
        <w:t xml:space="preserve">is </w:t>
      </w:r>
      <w:r w:rsidR="00DB538B">
        <w:rPr>
          <w:rFonts w:asciiTheme="minorHAnsi" w:hAnsiTheme="minorHAnsi" w:cstheme="minorHAnsi"/>
          <w:color w:val="122D3E"/>
          <w:sz w:val="26"/>
          <w:szCs w:val="26"/>
          <w:shd w:val="clear" w:color="auto" w:fill="FFFFFF"/>
        </w:rPr>
        <w:t xml:space="preserve">almost entirely on secular subjects.  </w:t>
      </w:r>
      <w:r w:rsidR="00996453">
        <w:rPr>
          <w:rFonts w:asciiTheme="minorHAnsi" w:hAnsiTheme="minorHAnsi" w:cstheme="minorHAnsi"/>
          <w:sz w:val="26"/>
          <w:szCs w:val="26"/>
        </w:rPr>
        <w:t>Agnes Morrissey-</w:t>
      </w:r>
      <w:proofErr w:type="spellStart"/>
      <w:r w:rsidR="00996453">
        <w:rPr>
          <w:rFonts w:asciiTheme="minorHAnsi" w:hAnsiTheme="minorHAnsi" w:cstheme="minorHAnsi"/>
          <w:sz w:val="26"/>
          <w:szCs w:val="26"/>
        </w:rPr>
        <w:t>Ber</w:t>
      </w:r>
      <w:r w:rsidR="00264755">
        <w:rPr>
          <w:rFonts w:asciiTheme="minorHAnsi" w:hAnsiTheme="minorHAnsi" w:cstheme="minorHAnsi"/>
          <w:sz w:val="26"/>
          <w:szCs w:val="26"/>
        </w:rPr>
        <w:t>r</w:t>
      </w:r>
      <w:r w:rsidR="00996453">
        <w:rPr>
          <w:rFonts w:asciiTheme="minorHAnsi" w:hAnsiTheme="minorHAnsi" w:cstheme="minorHAnsi"/>
          <w:sz w:val="26"/>
          <w:szCs w:val="26"/>
        </w:rPr>
        <w:t>u</w:t>
      </w:r>
      <w:proofErr w:type="spellEnd"/>
      <w:r w:rsidR="00996453">
        <w:rPr>
          <w:rFonts w:asciiTheme="minorHAnsi" w:hAnsiTheme="minorHAnsi" w:cstheme="minorHAnsi"/>
          <w:sz w:val="26"/>
          <w:szCs w:val="26"/>
        </w:rPr>
        <w:t xml:space="preserve"> taught at Our Lady of Guadalupe School and Kristen Biel taught at St. James School, both Roman Catholic schools in the Archdiocese of Los Angeles.  Both were elementary school teachers who sued </w:t>
      </w:r>
      <w:r w:rsidR="00D637AF">
        <w:rPr>
          <w:rFonts w:asciiTheme="minorHAnsi" w:hAnsiTheme="minorHAnsi" w:cstheme="minorHAnsi"/>
          <w:sz w:val="26"/>
          <w:szCs w:val="26"/>
        </w:rPr>
        <w:t xml:space="preserve">the </w:t>
      </w:r>
      <w:r w:rsidR="00996453">
        <w:rPr>
          <w:rFonts w:asciiTheme="minorHAnsi" w:hAnsiTheme="minorHAnsi" w:cstheme="minorHAnsi"/>
          <w:sz w:val="26"/>
          <w:szCs w:val="26"/>
        </w:rPr>
        <w:t xml:space="preserve">schools </w:t>
      </w:r>
      <w:r w:rsidR="00D637AF">
        <w:rPr>
          <w:rFonts w:asciiTheme="minorHAnsi" w:hAnsiTheme="minorHAnsi" w:cstheme="minorHAnsi"/>
          <w:sz w:val="26"/>
          <w:szCs w:val="26"/>
        </w:rPr>
        <w:t xml:space="preserve">after they were </w:t>
      </w:r>
      <w:r w:rsidR="00996453">
        <w:rPr>
          <w:rFonts w:asciiTheme="minorHAnsi" w:hAnsiTheme="minorHAnsi" w:cstheme="minorHAnsi"/>
          <w:sz w:val="26"/>
          <w:szCs w:val="26"/>
        </w:rPr>
        <w:t xml:space="preserve">terminated </w:t>
      </w:r>
      <w:r w:rsidR="00D637AF">
        <w:rPr>
          <w:rFonts w:asciiTheme="minorHAnsi" w:hAnsiTheme="minorHAnsi" w:cstheme="minorHAnsi"/>
          <w:sz w:val="26"/>
          <w:szCs w:val="26"/>
        </w:rPr>
        <w:t xml:space="preserve">from </w:t>
      </w:r>
      <w:r w:rsidR="00996453">
        <w:rPr>
          <w:rFonts w:asciiTheme="minorHAnsi" w:hAnsiTheme="minorHAnsi" w:cstheme="minorHAnsi"/>
          <w:sz w:val="26"/>
          <w:szCs w:val="26"/>
        </w:rPr>
        <w:t>employment.  Morrissey-</w:t>
      </w:r>
      <w:proofErr w:type="spellStart"/>
      <w:r w:rsidR="00996453">
        <w:rPr>
          <w:rFonts w:asciiTheme="minorHAnsi" w:hAnsiTheme="minorHAnsi" w:cstheme="minorHAnsi"/>
          <w:sz w:val="26"/>
          <w:szCs w:val="26"/>
        </w:rPr>
        <w:t>Be</w:t>
      </w:r>
      <w:r w:rsidR="00264755">
        <w:rPr>
          <w:rFonts w:asciiTheme="minorHAnsi" w:hAnsiTheme="minorHAnsi" w:cstheme="minorHAnsi"/>
          <w:sz w:val="26"/>
          <w:szCs w:val="26"/>
        </w:rPr>
        <w:t>r</w:t>
      </w:r>
      <w:r w:rsidR="00996453">
        <w:rPr>
          <w:rFonts w:asciiTheme="minorHAnsi" w:hAnsiTheme="minorHAnsi" w:cstheme="minorHAnsi"/>
          <w:sz w:val="26"/>
          <w:szCs w:val="26"/>
        </w:rPr>
        <w:t>ru</w:t>
      </w:r>
      <w:proofErr w:type="spellEnd"/>
      <w:r w:rsidR="00996453">
        <w:rPr>
          <w:rFonts w:asciiTheme="minorHAnsi" w:hAnsiTheme="minorHAnsi" w:cstheme="minorHAnsi"/>
          <w:sz w:val="26"/>
          <w:szCs w:val="26"/>
        </w:rPr>
        <w:t xml:space="preserve"> claimed the </w:t>
      </w:r>
      <w:r w:rsidR="004F67F4">
        <w:rPr>
          <w:rFonts w:asciiTheme="minorHAnsi" w:hAnsiTheme="minorHAnsi" w:cstheme="minorHAnsi"/>
          <w:sz w:val="26"/>
          <w:szCs w:val="26"/>
        </w:rPr>
        <w:t>s</w:t>
      </w:r>
      <w:r w:rsidR="00996453">
        <w:rPr>
          <w:rFonts w:asciiTheme="minorHAnsi" w:hAnsiTheme="minorHAnsi" w:cstheme="minorHAnsi"/>
          <w:sz w:val="26"/>
          <w:szCs w:val="26"/>
        </w:rPr>
        <w:t xml:space="preserve">chool violated the ADEA by replacing her with a younger teacher, and Biel alleged that the </w:t>
      </w:r>
      <w:r w:rsidR="004F67F4">
        <w:rPr>
          <w:rFonts w:asciiTheme="minorHAnsi" w:hAnsiTheme="minorHAnsi" w:cstheme="minorHAnsi"/>
          <w:sz w:val="26"/>
          <w:szCs w:val="26"/>
        </w:rPr>
        <w:t>s</w:t>
      </w:r>
      <w:r w:rsidR="00996453">
        <w:rPr>
          <w:rFonts w:asciiTheme="minorHAnsi" w:hAnsiTheme="minorHAnsi" w:cstheme="minorHAnsi"/>
          <w:sz w:val="26"/>
          <w:szCs w:val="26"/>
        </w:rPr>
        <w:t>chool fired her because she requested leave to obtain breast cancer treatment.  In both cases, the Ninth Circuit Court of Appeals</w:t>
      </w:r>
      <w:r w:rsidR="00D637AF">
        <w:rPr>
          <w:rFonts w:asciiTheme="minorHAnsi" w:hAnsiTheme="minorHAnsi" w:cstheme="minorHAnsi"/>
          <w:sz w:val="26"/>
          <w:szCs w:val="26"/>
        </w:rPr>
        <w:t xml:space="preserve"> </w:t>
      </w:r>
      <w:r w:rsidR="00996453">
        <w:rPr>
          <w:rFonts w:asciiTheme="minorHAnsi" w:hAnsiTheme="minorHAnsi" w:cstheme="minorHAnsi"/>
          <w:sz w:val="26"/>
          <w:szCs w:val="26"/>
        </w:rPr>
        <w:t>held that the teachers could pursue their legal claims.</w:t>
      </w:r>
      <w:r w:rsidR="00D637AF">
        <w:rPr>
          <w:rFonts w:asciiTheme="minorHAnsi" w:hAnsiTheme="minorHAnsi" w:cstheme="minorHAnsi"/>
          <w:sz w:val="26"/>
          <w:szCs w:val="26"/>
        </w:rPr>
        <w:t xml:space="preserve">  But the Supreme Court reversed.</w:t>
      </w:r>
    </w:p>
    <w:p w14:paraId="12A064CD" w14:textId="77777777" w:rsidR="00D637AF" w:rsidRDefault="00D637AF" w:rsidP="00826C1B">
      <w:pPr>
        <w:pStyle w:val="NormalWeb"/>
        <w:spacing w:before="0" w:beforeAutospacing="0" w:after="0" w:afterAutospacing="0" w:line="259" w:lineRule="auto"/>
        <w:jc w:val="both"/>
        <w:rPr>
          <w:rFonts w:asciiTheme="minorHAnsi" w:hAnsiTheme="minorHAnsi" w:cstheme="minorHAnsi"/>
          <w:sz w:val="26"/>
          <w:szCs w:val="26"/>
        </w:rPr>
      </w:pPr>
    </w:p>
    <w:p w14:paraId="6688A521" w14:textId="0C55B6B2" w:rsidR="00996453" w:rsidRDefault="00D637AF" w:rsidP="00826C1B">
      <w:pPr>
        <w:pStyle w:val="NormalWeb"/>
        <w:spacing w:before="0" w:beforeAutospacing="0" w:after="0" w:afterAutospacing="0" w:line="259" w:lineRule="auto"/>
        <w:jc w:val="both"/>
        <w:rPr>
          <w:rFonts w:asciiTheme="minorHAnsi" w:hAnsiTheme="minorHAnsi" w:cstheme="minorHAnsi"/>
          <w:sz w:val="26"/>
          <w:szCs w:val="26"/>
        </w:rPr>
      </w:pPr>
      <w:r>
        <w:rPr>
          <w:rFonts w:asciiTheme="minorHAnsi" w:hAnsiTheme="minorHAnsi" w:cstheme="minorHAnsi"/>
          <w:sz w:val="26"/>
          <w:szCs w:val="26"/>
        </w:rPr>
        <w:t>Justice Alito wrote the opinion for the Court in a 7-2 decision.</w:t>
      </w:r>
      <w:r w:rsidR="00996453">
        <w:rPr>
          <w:rFonts w:asciiTheme="minorHAnsi" w:hAnsiTheme="minorHAnsi" w:cstheme="minorHAnsi"/>
          <w:sz w:val="26"/>
          <w:szCs w:val="26"/>
        </w:rPr>
        <w:t xml:space="preserve">  </w:t>
      </w:r>
      <w:r>
        <w:rPr>
          <w:rFonts w:asciiTheme="minorHAnsi" w:hAnsiTheme="minorHAnsi" w:cstheme="minorHAnsi"/>
          <w:sz w:val="26"/>
          <w:szCs w:val="26"/>
        </w:rPr>
        <w:t xml:space="preserve">The Court relied on an earlier case, </w:t>
      </w:r>
      <w:r w:rsidRPr="00D637AF">
        <w:rPr>
          <w:rFonts w:asciiTheme="minorHAnsi" w:hAnsiTheme="minorHAnsi" w:cstheme="minorHAnsi"/>
          <w:i/>
          <w:iCs/>
          <w:sz w:val="26"/>
          <w:szCs w:val="26"/>
        </w:rPr>
        <w:t>Hosanna-Tabor Evangelical Lutheran Church and School v. EEOC</w:t>
      </w:r>
      <w:r>
        <w:rPr>
          <w:rFonts w:asciiTheme="minorHAnsi" w:hAnsiTheme="minorHAnsi" w:cstheme="minorHAnsi"/>
          <w:sz w:val="26"/>
          <w:szCs w:val="26"/>
        </w:rPr>
        <w:t xml:space="preserve"> (2012) 565 U.S. 171, which had expanded the “ministerial exception” that pr</w:t>
      </w:r>
      <w:r w:rsidR="00264755">
        <w:rPr>
          <w:rFonts w:asciiTheme="minorHAnsi" w:hAnsiTheme="minorHAnsi" w:cstheme="minorHAnsi"/>
          <w:sz w:val="26"/>
          <w:szCs w:val="26"/>
        </w:rPr>
        <w:t>ecludes</w:t>
      </w:r>
      <w:r>
        <w:rPr>
          <w:rFonts w:asciiTheme="minorHAnsi" w:hAnsiTheme="minorHAnsi" w:cstheme="minorHAnsi"/>
          <w:sz w:val="26"/>
          <w:szCs w:val="26"/>
        </w:rPr>
        <w:t xml:space="preserve"> certain religious </w:t>
      </w:r>
      <w:r>
        <w:rPr>
          <w:rFonts w:asciiTheme="minorHAnsi" w:hAnsiTheme="minorHAnsi" w:cstheme="minorHAnsi"/>
          <w:sz w:val="26"/>
          <w:szCs w:val="26"/>
        </w:rPr>
        <w:lastRenderedPageBreak/>
        <w:t xml:space="preserve">school employees from bringing employment lawsuits.  </w:t>
      </w:r>
      <w:r w:rsidR="00B01E60">
        <w:rPr>
          <w:rFonts w:asciiTheme="minorHAnsi" w:hAnsiTheme="minorHAnsi" w:cstheme="minorHAnsi"/>
          <w:sz w:val="26"/>
          <w:szCs w:val="26"/>
        </w:rPr>
        <w:t xml:space="preserve">The Court said that implicit in the </w:t>
      </w:r>
      <w:r w:rsidR="00B01E60" w:rsidRPr="00D637AF">
        <w:rPr>
          <w:rFonts w:asciiTheme="minorHAnsi" w:hAnsiTheme="minorHAnsi" w:cstheme="minorHAnsi"/>
          <w:i/>
          <w:iCs/>
          <w:sz w:val="26"/>
          <w:szCs w:val="26"/>
        </w:rPr>
        <w:t xml:space="preserve">Hosanna-Tabor </w:t>
      </w:r>
      <w:r w:rsidR="00B01E60">
        <w:rPr>
          <w:rFonts w:asciiTheme="minorHAnsi" w:hAnsiTheme="minorHAnsi" w:cstheme="minorHAnsi"/>
          <w:sz w:val="26"/>
          <w:szCs w:val="26"/>
        </w:rPr>
        <w:t xml:space="preserve">decision is a recognition that educating young people in their faith, </w:t>
      </w:r>
      <w:r w:rsidR="00982493">
        <w:rPr>
          <w:rFonts w:asciiTheme="minorHAnsi" w:hAnsiTheme="minorHAnsi" w:cstheme="minorHAnsi"/>
          <w:sz w:val="26"/>
          <w:szCs w:val="26"/>
        </w:rPr>
        <w:t>instilling</w:t>
      </w:r>
      <w:r w:rsidR="00B01E60">
        <w:rPr>
          <w:rFonts w:asciiTheme="minorHAnsi" w:hAnsiTheme="minorHAnsi" w:cstheme="minorHAnsi"/>
          <w:sz w:val="26"/>
          <w:szCs w:val="26"/>
        </w:rPr>
        <w:t xml:space="preserve"> </w:t>
      </w:r>
      <w:r w:rsidR="00982493">
        <w:rPr>
          <w:rFonts w:asciiTheme="minorHAnsi" w:hAnsiTheme="minorHAnsi" w:cstheme="minorHAnsi"/>
          <w:sz w:val="26"/>
          <w:szCs w:val="26"/>
        </w:rPr>
        <w:t xml:space="preserve">the church’s </w:t>
      </w:r>
      <w:r w:rsidR="00B01E60">
        <w:rPr>
          <w:rFonts w:asciiTheme="minorHAnsi" w:hAnsiTheme="minorHAnsi" w:cstheme="minorHAnsi"/>
          <w:sz w:val="26"/>
          <w:szCs w:val="26"/>
        </w:rPr>
        <w:t xml:space="preserve">teachings, and training </w:t>
      </w:r>
      <w:r w:rsidR="00505ADF">
        <w:rPr>
          <w:rFonts w:asciiTheme="minorHAnsi" w:hAnsiTheme="minorHAnsi" w:cstheme="minorHAnsi"/>
          <w:sz w:val="26"/>
          <w:szCs w:val="26"/>
        </w:rPr>
        <w:t>kids</w:t>
      </w:r>
      <w:r w:rsidR="00B01E60">
        <w:rPr>
          <w:rFonts w:asciiTheme="minorHAnsi" w:hAnsiTheme="minorHAnsi" w:cstheme="minorHAnsi"/>
          <w:sz w:val="26"/>
          <w:szCs w:val="26"/>
        </w:rPr>
        <w:t xml:space="preserve"> </w:t>
      </w:r>
      <w:r w:rsidR="00982493">
        <w:rPr>
          <w:rFonts w:asciiTheme="minorHAnsi" w:hAnsiTheme="minorHAnsi" w:cstheme="minorHAnsi"/>
          <w:sz w:val="26"/>
          <w:szCs w:val="26"/>
        </w:rPr>
        <w:t xml:space="preserve">on how </w:t>
      </w:r>
      <w:r w:rsidR="00B01E60">
        <w:rPr>
          <w:rFonts w:asciiTheme="minorHAnsi" w:hAnsiTheme="minorHAnsi" w:cstheme="minorHAnsi"/>
          <w:sz w:val="26"/>
          <w:szCs w:val="26"/>
        </w:rPr>
        <w:t xml:space="preserve">to live </w:t>
      </w:r>
      <w:r w:rsidR="00982493">
        <w:rPr>
          <w:rFonts w:asciiTheme="minorHAnsi" w:hAnsiTheme="minorHAnsi" w:cstheme="minorHAnsi"/>
          <w:sz w:val="26"/>
          <w:szCs w:val="26"/>
        </w:rPr>
        <w:t xml:space="preserve">out </w:t>
      </w:r>
      <w:r w:rsidR="00B01E60">
        <w:rPr>
          <w:rFonts w:asciiTheme="minorHAnsi" w:hAnsiTheme="minorHAnsi" w:cstheme="minorHAnsi"/>
          <w:sz w:val="26"/>
          <w:szCs w:val="26"/>
        </w:rPr>
        <w:t xml:space="preserve">their faith </w:t>
      </w:r>
      <w:r w:rsidR="00982493">
        <w:rPr>
          <w:rFonts w:asciiTheme="minorHAnsi" w:hAnsiTheme="minorHAnsi" w:cstheme="minorHAnsi"/>
          <w:sz w:val="26"/>
          <w:szCs w:val="26"/>
        </w:rPr>
        <w:t xml:space="preserve">are roles that lie </w:t>
      </w:r>
      <w:r w:rsidR="00B01E60">
        <w:rPr>
          <w:rFonts w:asciiTheme="minorHAnsi" w:hAnsiTheme="minorHAnsi" w:cstheme="minorHAnsi"/>
          <w:sz w:val="26"/>
          <w:szCs w:val="26"/>
        </w:rPr>
        <w:t>at the core of a private religious school’s mission.  The Court applied th</w:t>
      </w:r>
      <w:r w:rsidR="00264755">
        <w:rPr>
          <w:rFonts w:asciiTheme="minorHAnsi" w:hAnsiTheme="minorHAnsi" w:cstheme="minorHAnsi"/>
          <w:sz w:val="26"/>
          <w:szCs w:val="26"/>
        </w:rPr>
        <w:t>is</w:t>
      </w:r>
      <w:r w:rsidR="00B01E60">
        <w:rPr>
          <w:rFonts w:asciiTheme="minorHAnsi" w:hAnsiTheme="minorHAnsi" w:cstheme="minorHAnsi"/>
          <w:sz w:val="26"/>
          <w:szCs w:val="26"/>
        </w:rPr>
        <w:t xml:space="preserve"> to the facts of </w:t>
      </w:r>
      <w:r w:rsidR="00264755">
        <w:rPr>
          <w:rFonts w:asciiTheme="minorHAnsi" w:hAnsiTheme="minorHAnsi" w:cstheme="minorHAnsi"/>
          <w:sz w:val="26"/>
          <w:szCs w:val="26"/>
        </w:rPr>
        <w:t xml:space="preserve">both </w:t>
      </w:r>
      <w:r w:rsidR="00B01E60">
        <w:rPr>
          <w:rFonts w:asciiTheme="minorHAnsi" w:hAnsiTheme="minorHAnsi" w:cstheme="minorHAnsi"/>
          <w:sz w:val="26"/>
          <w:szCs w:val="26"/>
        </w:rPr>
        <w:t>Morrissey-</w:t>
      </w:r>
      <w:proofErr w:type="spellStart"/>
      <w:r w:rsidR="00B01E60">
        <w:rPr>
          <w:rFonts w:asciiTheme="minorHAnsi" w:hAnsiTheme="minorHAnsi" w:cstheme="minorHAnsi"/>
          <w:sz w:val="26"/>
          <w:szCs w:val="26"/>
        </w:rPr>
        <w:t>Be</w:t>
      </w:r>
      <w:r w:rsidR="00264755">
        <w:rPr>
          <w:rFonts w:asciiTheme="minorHAnsi" w:hAnsiTheme="minorHAnsi" w:cstheme="minorHAnsi"/>
          <w:sz w:val="26"/>
          <w:szCs w:val="26"/>
        </w:rPr>
        <w:t>r</w:t>
      </w:r>
      <w:r w:rsidR="00B01E60">
        <w:rPr>
          <w:rFonts w:asciiTheme="minorHAnsi" w:hAnsiTheme="minorHAnsi" w:cstheme="minorHAnsi"/>
          <w:sz w:val="26"/>
          <w:szCs w:val="26"/>
        </w:rPr>
        <w:t>ru’s</w:t>
      </w:r>
      <w:proofErr w:type="spellEnd"/>
      <w:r w:rsidR="00B01E60">
        <w:rPr>
          <w:rFonts w:asciiTheme="minorHAnsi" w:hAnsiTheme="minorHAnsi" w:cstheme="minorHAnsi"/>
          <w:sz w:val="26"/>
          <w:szCs w:val="26"/>
        </w:rPr>
        <w:t xml:space="preserve"> and Biel’s cases</w:t>
      </w:r>
      <w:r w:rsidR="000702A7">
        <w:rPr>
          <w:rFonts w:asciiTheme="minorHAnsi" w:hAnsiTheme="minorHAnsi" w:cstheme="minorHAnsi"/>
          <w:sz w:val="26"/>
          <w:szCs w:val="26"/>
        </w:rPr>
        <w:t xml:space="preserve">.  The Court found </w:t>
      </w:r>
      <w:r w:rsidR="00B01E60">
        <w:rPr>
          <w:rFonts w:asciiTheme="minorHAnsi" w:hAnsiTheme="minorHAnsi" w:cstheme="minorHAnsi"/>
          <w:sz w:val="26"/>
          <w:szCs w:val="26"/>
        </w:rPr>
        <w:t xml:space="preserve">that they performed “vital religious duties” such as educating their students in the Catholic faith and guiding their students to live their lives in accordance with that faith.  Even though their </w:t>
      </w:r>
      <w:r w:rsidR="00264755">
        <w:rPr>
          <w:rFonts w:asciiTheme="minorHAnsi" w:hAnsiTheme="minorHAnsi" w:cstheme="minorHAnsi"/>
          <w:sz w:val="26"/>
          <w:szCs w:val="26"/>
        </w:rPr>
        <w:t xml:space="preserve">job </w:t>
      </w:r>
      <w:r w:rsidR="00B01E60">
        <w:rPr>
          <w:rFonts w:asciiTheme="minorHAnsi" w:hAnsiTheme="minorHAnsi" w:cstheme="minorHAnsi"/>
          <w:sz w:val="26"/>
          <w:szCs w:val="26"/>
        </w:rPr>
        <w:t>titles did not include the term “minister” and the</w:t>
      </w:r>
      <w:r w:rsidR="000702A7">
        <w:rPr>
          <w:rFonts w:asciiTheme="minorHAnsi" w:hAnsiTheme="minorHAnsi" w:cstheme="minorHAnsi"/>
          <w:sz w:val="26"/>
          <w:szCs w:val="26"/>
        </w:rPr>
        <w:t xml:space="preserve"> teachers </w:t>
      </w:r>
      <w:r w:rsidR="00B01E60">
        <w:rPr>
          <w:rFonts w:asciiTheme="minorHAnsi" w:hAnsiTheme="minorHAnsi" w:cstheme="minorHAnsi"/>
          <w:sz w:val="26"/>
          <w:szCs w:val="26"/>
        </w:rPr>
        <w:t xml:space="preserve">had less formal religious training than the teacher in the </w:t>
      </w:r>
      <w:r w:rsidR="00B01E60" w:rsidRPr="00D637AF">
        <w:rPr>
          <w:rFonts w:asciiTheme="minorHAnsi" w:hAnsiTheme="minorHAnsi" w:cstheme="minorHAnsi"/>
          <w:i/>
          <w:iCs/>
          <w:sz w:val="26"/>
          <w:szCs w:val="26"/>
        </w:rPr>
        <w:t>Hosanna-Tabor</w:t>
      </w:r>
      <w:r w:rsidR="00B01E60">
        <w:rPr>
          <w:rFonts w:asciiTheme="minorHAnsi" w:hAnsiTheme="minorHAnsi" w:cstheme="minorHAnsi"/>
          <w:sz w:val="26"/>
          <w:szCs w:val="26"/>
        </w:rPr>
        <w:t xml:space="preserve"> case, the Court </w:t>
      </w:r>
      <w:r w:rsidR="00264755">
        <w:rPr>
          <w:rFonts w:asciiTheme="minorHAnsi" w:hAnsiTheme="minorHAnsi" w:cstheme="minorHAnsi"/>
          <w:sz w:val="26"/>
          <w:szCs w:val="26"/>
        </w:rPr>
        <w:t>said</w:t>
      </w:r>
      <w:r w:rsidR="00B01E60">
        <w:rPr>
          <w:rFonts w:asciiTheme="minorHAnsi" w:hAnsiTheme="minorHAnsi" w:cstheme="minorHAnsi"/>
          <w:sz w:val="26"/>
          <w:szCs w:val="26"/>
        </w:rPr>
        <w:t xml:space="preserve"> that their core responsibilities were essentially the same.  The Court also gave great weight to the schools</w:t>
      </w:r>
      <w:r w:rsidR="00413DCC">
        <w:rPr>
          <w:rFonts w:asciiTheme="minorHAnsi" w:hAnsiTheme="minorHAnsi" w:cstheme="minorHAnsi"/>
          <w:sz w:val="26"/>
          <w:szCs w:val="26"/>
        </w:rPr>
        <w:t>’</w:t>
      </w:r>
      <w:r w:rsidR="00B01E60">
        <w:rPr>
          <w:rFonts w:asciiTheme="minorHAnsi" w:hAnsiTheme="minorHAnsi" w:cstheme="minorHAnsi"/>
          <w:sz w:val="26"/>
          <w:szCs w:val="26"/>
        </w:rPr>
        <w:t xml:space="preserve"> view of </w:t>
      </w:r>
      <w:r w:rsidR="00413DCC">
        <w:rPr>
          <w:rFonts w:asciiTheme="minorHAnsi" w:hAnsiTheme="minorHAnsi" w:cstheme="minorHAnsi"/>
          <w:sz w:val="26"/>
          <w:szCs w:val="26"/>
        </w:rPr>
        <w:t xml:space="preserve">how the employees </w:t>
      </w:r>
      <w:r w:rsidR="00B01E60">
        <w:rPr>
          <w:rFonts w:asciiTheme="minorHAnsi" w:hAnsiTheme="minorHAnsi" w:cstheme="minorHAnsi"/>
          <w:sz w:val="26"/>
          <w:szCs w:val="26"/>
        </w:rPr>
        <w:t>carri</w:t>
      </w:r>
      <w:r w:rsidR="00413DCC">
        <w:rPr>
          <w:rFonts w:asciiTheme="minorHAnsi" w:hAnsiTheme="minorHAnsi" w:cstheme="minorHAnsi"/>
          <w:sz w:val="26"/>
          <w:szCs w:val="26"/>
        </w:rPr>
        <w:t>ed</w:t>
      </w:r>
      <w:r w:rsidR="00B01E60">
        <w:rPr>
          <w:rFonts w:asciiTheme="minorHAnsi" w:hAnsiTheme="minorHAnsi" w:cstheme="minorHAnsi"/>
          <w:sz w:val="26"/>
          <w:szCs w:val="26"/>
        </w:rPr>
        <w:t xml:space="preserve"> out the church’s mission</w:t>
      </w:r>
      <w:r w:rsidR="00413DCC">
        <w:rPr>
          <w:rFonts w:asciiTheme="minorHAnsi" w:hAnsiTheme="minorHAnsi" w:cstheme="minorHAnsi"/>
          <w:sz w:val="26"/>
          <w:szCs w:val="26"/>
        </w:rPr>
        <w:t xml:space="preserve"> and </w:t>
      </w:r>
      <w:r w:rsidR="00B01E60">
        <w:rPr>
          <w:rFonts w:asciiTheme="minorHAnsi" w:hAnsiTheme="minorHAnsi" w:cstheme="minorHAnsi"/>
          <w:sz w:val="26"/>
          <w:szCs w:val="26"/>
        </w:rPr>
        <w:t xml:space="preserve">said that </w:t>
      </w:r>
      <w:r w:rsidR="00264755">
        <w:rPr>
          <w:rFonts w:asciiTheme="minorHAnsi" w:hAnsiTheme="minorHAnsi" w:cstheme="minorHAnsi"/>
          <w:sz w:val="26"/>
          <w:szCs w:val="26"/>
        </w:rPr>
        <w:t>an</w:t>
      </w:r>
      <w:r w:rsidR="00B01E60">
        <w:rPr>
          <w:rFonts w:asciiTheme="minorHAnsi" w:hAnsiTheme="minorHAnsi" w:cstheme="minorHAnsi"/>
          <w:sz w:val="26"/>
          <w:szCs w:val="26"/>
        </w:rPr>
        <w:t xml:space="preserve"> employee does not have to be a “practicing” member of the religion to qualify for the ministerial exception.</w:t>
      </w:r>
    </w:p>
    <w:p w14:paraId="31C4E2E4" w14:textId="694103B1" w:rsidR="00B01E60" w:rsidRDefault="00B01E60" w:rsidP="00826C1B">
      <w:pPr>
        <w:pStyle w:val="NormalWeb"/>
        <w:spacing w:before="0" w:beforeAutospacing="0" w:after="0" w:afterAutospacing="0" w:line="259" w:lineRule="auto"/>
        <w:jc w:val="both"/>
        <w:rPr>
          <w:rFonts w:asciiTheme="minorHAnsi" w:hAnsiTheme="minorHAnsi" w:cstheme="minorHAnsi"/>
          <w:sz w:val="26"/>
          <w:szCs w:val="26"/>
        </w:rPr>
      </w:pPr>
    </w:p>
    <w:p w14:paraId="7E378659" w14:textId="11E3354B" w:rsidR="00B01E60" w:rsidRPr="00CC4F42" w:rsidRDefault="000702A7" w:rsidP="00826C1B">
      <w:pPr>
        <w:pStyle w:val="NormalWeb"/>
        <w:spacing w:before="0" w:beforeAutospacing="0" w:after="0" w:afterAutospacing="0" w:line="259" w:lineRule="auto"/>
        <w:jc w:val="both"/>
        <w:rPr>
          <w:rFonts w:asciiTheme="minorHAnsi" w:hAnsiTheme="minorHAnsi" w:cstheme="minorHAnsi"/>
          <w:sz w:val="26"/>
          <w:szCs w:val="26"/>
        </w:rPr>
      </w:pPr>
      <w:r>
        <w:rPr>
          <w:rFonts w:asciiTheme="minorHAnsi" w:hAnsiTheme="minorHAnsi" w:cstheme="minorHAnsi"/>
          <w:sz w:val="26"/>
          <w:szCs w:val="26"/>
        </w:rPr>
        <w:t>Unfortunately, t</w:t>
      </w:r>
      <w:r w:rsidR="00CC4F42">
        <w:rPr>
          <w:rFonts w:asciiTheme="minorHAnsi" w:hAnsiTheme="minorHAnsi" w:cstheme="minorHAnsi"/>
          <w:sz w:val="26"/>
          <w:szCs w:val="26"/>
        </w:rPr>
        <w:t xml:space="preserve">his case carves out a </w:t>
      </w:r>
      <w:r>
        <w:rPr>
          <w:rFonts w:asciiTheme="minorHAnsi" w:hAnsiTheme="minorHAnsi" w:cstheme="minorHAnsi"/>
          <w:sz w:val="26"/>
          <w:szCs w:val="26"/>
        </w:rPr>
        <w:t>broader</w:t>
      </w:r>
      <w:r w:rsidR="00CC4F42">
        <w:rPr>
          <w:rFonts w:asciiTheme="minorHAnsi" w:hAnsiTheme="minorHAnsi" w:cstheme="minorHAnsi"/>
          <w:sz w:val="26"/>
          <w:szCs w:val="26"/>
        </w:rPr>
        <w:t xml:space="preserve"> scope of people who </w:t>
      </w:r>
      <w:r w:rsidR="00616A1F">
        <w:rPr>
          <w:rFonts w:asciiTheme="minorHAnsi" w:hAnsiTheme="minorHAnsi" w:cstheme="minorHAnsi"/>
          <w:sz w:val="26"/>
          <w:szCs w:val="26"/>
        </w:rPr>
        <w:t>lose</w:t>
      </w:r>
      <w:r w:rsidR="00CC4F42">
        <w:rPr>
          <w:rFonts w:asciiTheme="minorHAnsi" w:hAnsiTheme="minorHAnsi" w:cstheme="minorHAnsi"/>
          <w:sz w:val="26"/>
          <w:szCs w:val="26"/>
        </w:rPr>
        <w:t xml:space="preserve"> their rights under U.S. employment law </w:t>
      </w:r>
      <w:r w:rsidR="000D7EA4">
        <w:rPr>
          <w:rFonts w:asciiTheme="minorHAnsi" w:hAnsiTheme="minorHAnsi" w:cstheme="minorHAnsi"/>
          <w:sz w:val="26"/>
          <w:szCs w:val="26"/>
        </w:rPr>
        <w:t xml:space="preserve">when they </w:t>
      </w:r>
      <w:r w:rsidR="00CC4F42">
        <w:rPr>
          <w:rFonts w:asciiTheme="minorHAnsi" w:hAnsiTheme="minorHAnsi" w:cstheme="minorHAnsi"/>
          <w:sz w:val="26"/>
          <w:szCs w:val="26"/>
        </w:rPr>
        <w:t>choos</w:t>
      </w:r>
      <w:r w:rsidR="000D7EA4">
        <w:rPr>
          <w:rFonts w:asciiTheme="minorHAnsi" w:hAnsiTheme="minorHAnsi" w:cstheme="minorHAnsi"/>
          <w:sz w:val="26"/>
          <w:szCs w:val="26"/>
        </w:rPr>
        <w:t>e</w:t>
      </w:r>
      <w:r w:rsidR="00CC4F42">
        <w:rPr>
          <w:rFonts w:asciiTheme="minorHAnsi" w:hAnsiTheme="minorHAnsi" w:cstheme="minorHAnsi"/>
          <w:sz w:val="26"/>
          <w:szCs w:val="26"/>
        </w:rPr>
        <w:t xml:space="preserve"> to sell their labor and skills to religious employers.  The case law, up until </w:t>
      </w:r>
      <w:r w:rsidR="00CC4F42" w:rsidRPr="00D637AF">
        <w:rPr>
          <w:rFonts w:asciiTheme="minorHAnsi" w:hAnsiTheme="minorHAnsi" w:cstheme="minorHAnsi"/>
          <w:i/>
          <w:iCs/>
          <w:sz w:val="26"/>
          <w:szCs w:val="26"/>
        </w:rPr>
        <w:t>Hosanna-Tabor</w:t>
      </w:r>
      <w:r w:rsidR="00CC4F42">
        <w:rPr>
          <w:rFonts w:asciiTheme="minorHAnsi" w:hAnsiTheme="minorHAnsi" w:cstheme="minorHAnsi"/>
          <w:sz w:val="26"/>
          <w:szCs w:val="26"/>
        </w:rPr>
        <w:t xml:space="preserve">, had interpreted the “ministerial exception” narrowly.  </w:t>
      </w:r>
      <w:r w:rsidR="00616A1F">
        <w:rPr>
          <w:rFonts w:asciiTheme="minorHAnsi" w:hAnsiTheme="minorHAnsi" w:cstheme="minorHAnsi"/>
          <w:sz w:val="26"/>
          <w:szCs w:val="26"/>
        </w:rPr>
        <w:t>But t</w:t>
      </w:r>
      <w:r w:rsidR="00CC4F42">
        <w:rPr>
          <w:rFonts w:asciiTheme="minorHAnsi" w:hAnsiTheme="minorHAnsi" w:cstheme="minorHAnsi"/>
          <w:sz w:val="26"/>
          <w:szCs w:val="26"/>
        </w:rPr>
        <w:t>he</w:t>
      </w:r>
      <w:r w:rsidR="00CC4F42" w:rsidRPr="00CC4F42">
        <w:rPr>
          <w:rFonts w:asciiTheme="minorHAnsi" w:hAnsiTheme="minorHAnsi" w:cstheme="minorHAnsi"/>
          <w:i/>
          <w:iCs/>
          <w:sz w:val="26"/>
          <w:szCs w:val="26"/>
        </w:rPr>
        <w:t xml:space="preserve"> </w:t>
      </w:r>
      <w:r w:rsidR="00CC4F42" w:rsidRPr="00901ECF">
        <w:rPr>
          <w:rFonts w:asciiTheme="minorHAnsi" w:hAnsiTheme="minorHAnsi" w:cstheme="minorHAnsi"/>
          <w:i/>
          <w:iCs/>
          <w:sz w:val="26"/>
          <w:szCs w:val="26"/>
        </w:rPr>
        <w:t xml:space="preserve">Morrissey </w:t>
      </w:r>
      <w:proofErr w:type="spellStart"/>
      <w:r w:rsidR="00CC4F42" w:rsidRPr="00901ECF">
        <w:rPr>
          <w:rFonts w:asciiTheme="minorHAnsi" w:hAnsiTheme="minorHAnsi" w:cstheme="minorHAnsi"/>
          <w:i/>
          <w:iCs/>
          <w:sz w:val="26"/>
          <w:szCs w:val="26"/>
        </w:rPr>
        <w:t>Berru</w:t>
      </w:r>
      <w:proofErr w:type="spellEnd"/>
      <w:r w:rsidR="00CC4F42">
        <w:rPr>
          <w:rFonts w:asciiTheme="minorHAnsi" w:hAnsiTheme="minorHAnsi" w:cstheme="minorHAnsi"/>
          <w:i/>
          <w:iCs/>
          <w:sz w:val="26"/>
          <w:szCs w:val="26"/>
        </w:rPr>
        <w:t xml:space="preserve"> </w:t>
      </w:r>
      <w:r w:rsidR="00CC4F42">
        <w:rPr>
          <w:rFonts w:asciiTheme="minorHAnsi" w:hAnsiTheme="minorHAnsi" w:cstheme="minorHAnsi"/>
          <w:sz w:val="26"/>
          <w:szCs w:val="26"/>
        </w:rPr>
        <w:t>case shows the Court is willing to expand that exception much f</w:t>
      </w:r>
      <w:r w:rsidR="00616A1F">
        <w:rPr>
          <w:rFonts w:asciiTheme="minorHAnsi" w:hAnsiTheme="minorHAnsi" w:cstheme="minorHAnsi"/>
          <w:sz w:val="26"/>
          <w:szCs w:val="26"/>
        </w:rPr>
        <w:t>u</w:t>
      </w:r>
      <w:r w:rsidR="00CC4F42">
        <w:rPr>
          <w:rFonts w:asciiTheme="minorHAnsi" w:hAnsiTheme="minorHAnsi" w:cstheme="minorHAnsi"/>
          <w:sz w:val="26"/>
          <w:szCs w:val="26"/>
        </w:rPr>
        <w:t xml:space="preserve">rther.  </w:t>
      </w:r>
      <w:r w:rsidR="00DB538B">
        <w:rPr>
          <w:rFonts w:asciiTheme="minorHAnsi" w:hAnsiTheme="minorHAnsi" w:cstheme="minorHAnsi"/>
          <w:sz w:val="26"/>
          <w:szCs w:val="26"/>
        </w:rPr>
        <w:t xml:space="preserve">It even permits religious institutions to discriminate </w:t>
      </w:r>
      <w:r w:rsidR="00505ADF">
        <w:rPr>
          <w:rFonts w:asciiTheme="minorHAnsi" w:hAnsiTheme="minorHAnsi" w:cstheme="minorHAnsi"/>
          <w:sz w:val="26"/>
          <w:szCs w:val="26"/>
        </w:rPr>
        <w:t>based on</w:t>
      </w:r>
      <w:r w:rsidR="00DB538B">
        <w:rPr>
          <w:rFonts w:asciiTheme="minorHAnsi" w:hAnsiTheme="minorHAnsi" w:cstheme="minorHAnsi"/>
          <w:sz w:val="26"/>
          <w:szCs w:val="26"/>
        </w:rPr>
        <w:t xml:space="preserve"> age or disability if the employee </w:t>
      </w:r>
      <w:r w:rsidR="000D7EA4">
        <w:rPr>
          <w:rFonts w:asciiTheme="minorHAnsi" w:hAnsiTheme="minorHAnsi" w:cstheme="minorHAnsi"/>
          <w:sz w:val="26"/>
          <w:szCs w:val="26"/>
        </w:rPr>
        <w:t>they are</w:t>
      </w:r>
      <w:r w:rsidR="00DB538B">
        <w:rPr>
          <w:rFonts w:asciiTheme="minorHAnsi" w:hAnsiTheme="minorHAnsi" w:cstheme="minorHAnsi"/>
          <w:sz w:val="26"/>
          <w:szCs w:val="26"/>
        </w:rPr>
        <w:t xml:space="preserve"> discriminating against falls in the “ministerial exception.”  </w:t>
      </w:r>
      <w:r w:rsidR="00CC4F42">
        <w:rPr>
          <w:rFonts w:asciiTheme="minorHAnsi" w:hAnsiTheme="minorHAnsi" w:cstheme="minorHAnsi"/>
          <w:sz w:val="26"/>
          <w:szCs w:val="26"/>
        </w:rPr>
        <w:t>It is important to remember</w:t>
      </w:r>
      <w:r w:rsidR="002231B4">
        <w:rPr>
          <w:rFonts w:asciiTheme="minorHAnsi" w:hAnsiTheme="minorHAnsi" w:cstheme="minorHAnsi"/>
          <w:sz w:val="26"/>
          <w:szCs w:val="26"/>
        </w:rPr>
        <w:t xml:space="preserve"> that</w:t>
      </w:r>
      <w:r w:rsidR="00CC4F42">
        <w:rPr>
          <w:rFonts w:asciiTheme="minorHAnsi" w:hAnsiTheme="minorHAnsi" w:cstheme="minorHAnsi"/>
          <w:sz w:val="26"/>
          <w:szCs w:val="26"/>
        </w:rPr>
        <w:t xml:space="preserve"> the Appeals Court had concluded that the teachers’ lawsuits had merit – a jury could reasonably find that they were victims of illegal discrimination.  But the Court </w:t>
      </w:r>
      <w:r w:rsidR="00616A1F">
        <w:rPr>
          <w:rFonts w:asciiTheme="minorHAnsi" w:hAnsiTheme="minorHAnsi" w:cstheme="minorHAnsi"/>
          <w:sz w:val="26"/>
          <w:szCs w:val="26"/>
        </w:rPr>
        <w:t xml:space="preserve">nonetheless </w:t>
      </w:r>
      <w:r w:rsidR="00CC4F42">
        <w:rPr>
          <w:rFonts w:asciiTheme="minorHAnsi" w:hAnsiTheme="minorHAnsi" w:cstheme="minorHAnsi"/>
          <w:sz w:val="26"/>
          <w:szCs w:val="26"/>
        </w:rPr>
        <w:t xml:space="preserve">held the schools immune from </w:t>
      </w:r>
      <w:r w:rsidR="002231B4">
        <w:rPr>
          <w:rFonts w:asciiTheme="minorHAnsi" w:hAnsiTheme="minorHAnsi" w:cstheme="minorHAnsi"/>
          <w:sz w:val="26"/>
          <w:szCs w:val="26"/>
        </w:rPr>
        <w:t xml:space="preserve">any </w:t>
      </w:r>
      <w:r w:rsidR="00CC4F42">
        <w:rPr>
          <w:rFonts w:asciiTheme="minorHAnsi" w:hAnsiTheme="minorHAnsi" w:cstheme="minorHAnsi"/>
          <w:sz w:val="26"/>
          <w:szCs w:val="26"/>
        </w:rPr>
        <w:t xml:space="preserve">liability.  </w:t>
      </w:r>
    </w:p>
    <w:p w14:paraId="15979587" w14:textId="77777777" w:rsidR="002E779B" w:rsidRPr="00A2569A" w:rsidRDefault="002E779B" w:rsidP="00826C1B">
      <w:pPr>
        <w:pStyle w:val="NormalWeb"/>
        <w:spacing w:before="0" w:beforeAutospacing="0" w:after="0" w:afterAutospacing="0" w:line="259" w:lineRule="auto"/>
        <w:jc w:val="both"/>
        <w:rPr>
          <w:rFonts w:asciiTheme="minorHAnsi" w:hAnsiTheme="minorHAnsi" w:cstheme="minorHAnsi"/>
          <w:sz w:val="26"/>
          <w:szCs w:val="26"/>
        </w:rPr>
      </w:pPr>
    </w:p>
    <w:p w14:paraId="5C20DE29" w14:textId="731637E3" w:rsidR="002A37AF" w:rsidRDefault="000C0AE8" w:rsidP="002A37AF">
      <w:pPr>
        <w:pStyle w:val="NormalWeb"/>
        <w:spacing w:before="0" w:beforeAutospacing="0" w:after="0" w:afterAutospacing="0" w:line="259" w:lineRule="auto"/>
        <w:jc w:val="both"/>
        <w:rPr>
          <w:rFonts w:asciiTheme="minorHAnsi" w:hAnsiTheme="minorHAnsi" w:cstheme="minorHAnsi"/>
          <w:sz w:val="26"/>
          <w:szCs w:val="26"/>
        </w:rPr>
      </w:pPr>
      <w:r w:rsidRPr="002A37AF">
        <w:rPr>
          <w:rFonts w:asciiTheme="minorHAnsi" w:hAnsiTheme="minorHAnsi" w:cstheme="minorHAnsi"/>
          <w:b/>
          <w:bCs/>
          <w:sz w:val="26"/>
          <w:szCs w:val="26"/>
          <w:u w:val="single"/>
        </w:rPr>
        <w:t>Conclusion</w:t>
      </w:r>
      <w:r w:rsidRPr="002A37AF">
        <w:rPr>
          <w:rFonts w:asciiTheme="minorHAnsi" w:hAnsiTheme="minorHAnsi" w:cstheme="minorHAnsi"/>
          <w:sz w:val="26"/>
          <w:szCs w:val="26"/>
        </w:rPr>
        <w:t xml:space="preserve">:  </w:t>
      </w:r>
      <w:r w:rsidR="00175042">
        <w:rPr>
          <w:rFonts w:asciiTheme="minorHAnsi" w:hAnsiTheme="minorHAnsi" w:cstheme="minorHAnsi"/>
          <w:sz w:val="26"/>
          <w:szCs w:val="26"/>
        </w:rPr>
        <w:t>Th</w:t>
      </w:r>
      <w:r w:rsidR="000D7EA4">
        <w:rPr>
          <w:rFonts w:asciiTheme="minorHAnsi" w:hAnsiTheme="minorHAnsi" w:cstheme="minorHAnsi"/>
          <w:sz w:val="26"/>
          <w:szCs w:val="26"/>
        </w:rPr>
        <w:t>e</w:t>
      </w:r>
      <w:r w:rsidR="00175042">
        <w:rPr>
          <w:rFonts w:asciiTheme="minorHAnsi" w:hAnsiTheme="minorHAnsi" w:cstheme="minorHAnsi"/>
          <w:sz w:val="26"/>
          <w:szCs w:val="26"/>
        </w:rPr>
        <w:t>s</w:t>
      </w:r>
      <w:r w:rsidR="000D7EA4">
        <w:rPr>
          <w:rFonts w:asciiTheme="minorHAnsi" w:hAnsiTheme="minorHAnsi" w:cstheme="minorHAnsi"/>
          <w:sz w:val="26"/>
          <w:szCs w:val="26"/>
        </w:rPr>
        <w:t>e</w:t>
      </w:r>
      <w:r w:rsidR="00175042">
        <w:rPr>
          <w:rFonts w:asciiTheme="minorHAnsi" w:hAnsiTheme="minorHAnsi" w:cstheme="minorHAnsi"/>
          <w:sz w:val="26"/>
          <w:szCs w:val="26"/>
        </w:rPr>
        <w:t xml:space="preserve"> decisions are a relative bright spot f</w:t>
      </w:r>
      <w:r w:rsidR="009868F7">
        <w:rPr>
          <w:rFonts w:asciiTheme="minorHAnsi" w:hAnsiTheme="minorHAnsi" w:cstheme="minorHAnsi"/>
          <w:sz w:val="26"/>
          <w:szCs w:val="26"/>
        </w:rPr>
        <w:t xml:space="preserve">rom a Court that has routinely sided in recent years with big business over </w:t>
      </w:r>
      <w:r w:rsidR="00DB538B">
        <w:rPr>
          <w:rFonts w:asciiTheme="minorHAnsi" w:hAnsiTheme="minorHAnsi" w:cstheme="minorHAnsi"/>
          <w:sz w:val="26"/>
          <w:szCs w:val="26"/>
        </w:rPr>
        <w:t>workers</w:t>
      </w:r>
      <w:r w:rsidR="009868F7">
        <w:rPr>
          <w:rFonts w:asciiTheme="minorHAnsi" w:hAnsiTheme="minorHAnsi" w:cstheme="minorHAnsi"/>
          <w:sz w:val="26"/>
          <w:szCs w:val="26"/>
        </w:rPr>
        <w:t xml:space="preserve">.  </w:t>
      </w:r>
      <w:r w:rsidR="000D7EA4">
        <w:rPr>
          <w:rFonts w:asciiTheme="minorHAnsi" w:hAnsiTheme="minorHAnsi" w:cstheme="minorHAnsi"/>
          <w:sz w:val="26"/>
          <w:szCs w:val="26"/>
        </w:rPr>
        <w:t>All public sector workers should welcome t</w:t>
      </w:r>
      <w:r w:rsidR="00175042">
        <w:rPr>
          <w:rFonts w:asciiTheme="minorHAnsi" w:hAnsiTheme="minorHAnsi" w:cstheme="minorHAnsi"/>
          <w:sz w:val="26"/>
          <w:szCs w:val="26"/>
        </w:rPr>
        <w:t>he</w:t>
      </w:r>
      <w:r w:rsidR="009868F7">
        <w:rPr>
          <w:rFonts w:asciiTheme="minorHAnsi" w:hAnsiTheme="minorHAnsi" w:cstheme="minorHAnsi"/>
          <w:sz w:val="26"/>
          <w:szCs w:val="26"/>
        </w:rPr>
        <w:t xml:space="preserve"> </w:t>
      </w:r>
      <w:r w:rsidR="005A2DAA">
        <w:rPr>
          <w:rFonts w:asciiTheme="minorHAnsi" w:hAnsiTheme="minorHAnsi" w:cstheme="minorHAnsi"/>
          <w:sz w:val="26"/>
          <w:szCs w:val="26"/>
        </w:rPr>
        <w:t xml:space="preserve">Court’s </w:t>
      </w:r>
      <w:r w:rsidR="009868F7">
        <w:rPr>
          <w:rFonts w:asciiTheme="minorHAnsi" w:hAnsiTheme="minorHAnsi" w:cstheme="minorHAnsi"/>
          <w:sz w:val="26"/>
          <w:szCs w:val="26"/>
        </w:rPr>
        <w:t xml:space="preserve">aggressive enforcement of Title VII in </w:t>
      </w:r>
      <w:r w:rsidR="009868F7" w:rsidRPr="008E1F0B">
        <w:rPr>
          <w:rFonts w:asciiTheme="minorHAnsi" w:hAnsiTheme="minorHAnsi" w:cstheme="minorHAnsi"/>
          <w:i/>
          <w:iCs/>
          <w:sz w:val="26"/>
          <w:szCs w:val="26"/>
        </w:rPr>
        <w:t>Bostock</w:t>
      </w:r>
      <w:r w:rsidR="009868F7">
        <w:rPr>
          <w:rFonts w:asciiTheme="minorHAnsi" w:hAnsiTheme="minorHAnsi" w:cstheme="minorHAnsi"/>
          <w:i/>
          <w:iCs/>
          <w:sz w:val="26"/>
          <w:szCs w:val="26"/>
        </w:rPr>
        <w:t xml:space="preserve"> </w:t>
      </w:r>
      <w:r w:rsidR="009868F7">
        <w:rPr>
          <w:rFonts w:asciiTheme="minorHAnsi" w:hAnsiTheme="minorHAnsi" w:cstheme="minorHAnsi"/>
          <w:sz w:val="26"/>
          <w:szCs w:val="26"/>
        </w:rPr>
        <w:t xml:space="preserve">and the ADEA in </w:t>
      </w:r>
      <w:r w:rsidR="009868F7" w:rsidRPr="00814E11">
        <w:rPr>
          <w:rFonts w:asciiTheme="minorHAnsi" w:hAnsiTheme="minorHAnsi" w:cstheme="minorHAnsi"/>
          <w:i/>
          <w:iCs/>
          <w:sz w:val="26"/>
          <w:szCs w:val="26"/>
        </w:rPr>
        <w:t>Babb</w:t>
      </w:r>
      <w:r w:rsidR="00175042">
        <w:rPr>
          <w:rFonts w:asciiTheme="minorHAnsi" w:hAnsiTheme="minorHAnsi" w:cstheme="minorHAnsi"/>
          <w:sz w:val="26"/>
          <w:szCs w:val="26"/>
        </w:rPr>
        <w:t xml:space="preserve">.  </w:t>
      </w:r>
      <w:r w:rsidR="005A2DAA">
        <w:rPr>
          <w:rFonts w:asciiTheme="minorHAnsi" w:hAnsiTheme="minorHAnsi" w:cstheme="minorHAnsi"/>
          <w:sz w:val="26"/>
          <w:szCs w:val="26"/>
        </w:rPr>
        <w:t xml:space="preserve">It </w:t>
      </w:r>
      <w:r w:rsidR="000D7EA4">
        <w:rPr>
          <w:rFonts w:asciiTheme="minorHAnsi" w:hAnsiTheme="minorHAnsi" w:cstheme="minorHAnsi"/>
          <w:sz w:val="26"/>
          <w:szCs w:val="26"/>
        </w:rPr>
        <w:t>is</w:t>
      </w:r>
      <w:r w:rsidR="00175042">
        <w:rPr>
          <w:rFonts w:asciiTheme="minorHAnsi" w:hAnsiTheme="minorHAnsi" w:cstheme="minorHAnsi"/>
          <w:sz w:val="26"/>
          <w:szCs w:val="26"/>
        </w:rPr>
        <w:t xml:space="preserve"> a warning to </w:t>
      </w:r>
      <w:r w:rsidR="005A2DAA">
        <w:rPr>
          <w:rFonts w:asciiTheme="minorHAnsi" w:hAnsiTheme="minorHAnsi" w:cstheme="minorHAnsi"/>
          <w:sz w:val="26"/>
          <w:szCs w:val="26"/>
        </w:rPr>
        <w:t xml:space="preserve">California’s </w:t>
      </w:r>
      <w:r w:rsidR="00175042">
        <w:rPr>
          <w:rFonts w:asciiTheme="minorHAnsi" w:hAnsiTheme="minorHAnsi" w:cstheme="minorHAnsi"/>
          <w:sz w:val="26"/>
          <w:szCs w:val="26"/>
        </w:rPr>
        <w:t>public agencies</w:t>
      </w:r>
      <w:r w:rsidR="005A2DAA">
        <w:rPr>
          <w:rFonts w:asciiTheme="minorHAnsi" w:hAnsiTheme="minorHAnsi" w:cstheme="minorHAnsi"/>
          <w:sz w:val="26"/>
          <w:szCs w:val="26"/>
        </w:rPr>
        <w:t xml:space="preserve">. </w:t>
      </w:r>
      <w:r w:rsidR="00175042">
        <w:rPr>
          <w:rFonts w:asciiTheme="minorHAnsi" w:hAnsiTheme="minorHAnsi" w:cstheme="minorHAnsi"/>
          <w:sz w:val="26"/>
          <w:szCs w:val="26"/>
        </w:rPr>
        <w:t xml:space="preserve"> </w:t>
      </w:r>
      <w:r w:rsidR="005A2DAA">
        <w:rPr>
          <w:rFonts w:asciiTheme="minorHAnsi" w:hAnsiTheme="minorHAnsi" w:cstheme="minorHAnsi"/>
          <w:sz w:val="26"/>
          <w:szCs w:val="26"/>
        </w:rPr>
        <w:t>P</w:t>
      </w:r>
      <w:r w:rsidR="00175042">
        <w:rPr>
          <w:rFonts w:asciiTheme="minorHAnsi" w:hAnsiTheme="minorHAnsi" w:cstheme="minorHAnsi"/>
          <w:sz w:val="26"/>
          <w:szCs w:val="26"/>
        </w:rPr>
        <w:t xml:space="preserve">ersonnel decisions </w:t>
      </w:r>
      <w:r w:rsidR="00164874">
        <w:rPr>
          <w:rFonts w:asciiTheme="minorHAnsi" w:hAnsiTheme="minorHAnsi" w:cstheme="minorHAnsi"/>
          <w:sz w:val="26"/>
          <w:szCs w:val="26"/>
        </w:rPr>
        <w:t>must</w:t>
      </w:r>
      <w:r w:rsidR="00175042">
        <w:rPr>
          <w:rFonts w:asciiTheme="minorHAnsi" w:hAnsiTheme="minorHAnsi" w:cstheme="minorHAnsi"/>
          <w:sz w:val="26"/>
          <w:szCs w:val="26"/>
        </w:rPr>
        <w:t xml:space="preserve"> be free of illegal bias or discrimination.  A worker’s age or sexual orientation, for example, shall not be considered.  </w:t>
      </w:r>
      <w:r w:rsidR="000D7EA4">
        <w:rPr>
          <w:rFonts w:asciiTheme="minorHAnsi" w:hAnsiTheme="minorHAnsi" w:cstheme="minorHAnsi"/>
          <w:sz w:val="26"/>
          <w:szCs w:val="26"/>
        </w:rPr>
        <w:t>E</w:t>
      </w:r>
      <w:r w:rsidR="00175042">
        <w:rPr>
          <w:rFonts w:asciiTheme="minorHAnsi" w:hAnsiTheme="minorHAnsi" w:cstheme="minorHAnsi"/>
          <w:sz w:val="26"/>
          <w:szCs w:val="26"/>
        </w:rPr>
        <w:t>quality under the law is not just an ideal but a legally enforceable standard.</w:t>
      </w:r>
    </w:p>
    <w:p w14:paraId="366AE884" w14:textId="3E66DCE8" w:rsidR="0095526C" w:rsidRDefault="0095526C" w:rsidP="002A37AF">
      <w:pPr>
        <w:pStyle w:val="NormalWeb"/>
        <w:spacing w:before="0" w:beforeAutospacing="0" w:after="0" w:afterAutospacing="0" w:line="259" w:lineRule="auto"/>
        <w:jc w:val="both"/>
        <w:rPr>
          <w:rFonts w:asciiTheme="minorHAnsi" w:hAnsiTheme="minorHAnsi" w:cstheme="minorHAnsi"/>
          <w:sz w:val="26"/>
          <w:szCs w:val="26"/>
        </w:rPr>
      </w:pPr>
    </w:p>
    <w:p w14:paraId="0B3578AA" w14:textId="1D62D712" w:rsidR="0095526C" w:rsidRDefault="0095526C" w:rsidP="002A37AF">
      <w:pPr>
        <w:pStyle w:val="NormalWeb"/>
        <w:spacing w:before="0" w:beforeAutospacing="0" w:after="0" w:afterAutospacing="0" w:line="259" w:lineRule="auto"/>
        <w:jc w:val="both"/>
        <w:rPr>
          <w:rFonts w:asciiTheme="minorHAnsi" w:hAnsiTheme="minorHAnsi" w:cstheme="minorHAnsi"/>
          <w:sz w:val="26"/>
          <w:szCs w:val="26"/>
        </w:rPr>
      </w:pPr>
    </w:p>
    <w:p w14:paraId="73E181B0" w14:textId="2D3926F6" w:rsidR="0095526C" w:rsidRDefault="0095526C" w:rsidP="002A37AF">
      <w:pPr>
        <w:pStyle w:val="NormalWeb"/>
        <w:spacing w:before="0" w:beforeAutospacing="0" w:after="0" w:afterAutospacing="0" w:line="259" w:lineRule="auto"/>
        <w:jc w:val="both"/>
        <w:rPr>
          <w:rFonts w:asciiTheme="minorHAnsi" w:hAnsiTheme="minorHAnsi" w:cstheme="minorHAnsi"/>
          <w:sz w:val="26"/>
          <w:szCs w:val="26"/>
        </w:rPr>
      </w:pPr>
    </w:p>
    <w:p w14:paraId="0498861C" w14:textId="6A5D925F" w:rsidR="0095526C" w:rsidRDefault="0095526C" w:rsidP="002A37AF">
      <w:pPr>
        <w:pStyle w:val="NormalWeb"/>
        <w:spacing w:before="0" w:beforeAutospacing="0" w:after="0" w:afterAutospacing="0" w:line="259" w:lineRule="auto"/>
        <w:jc w:val="both"/>
        <w:rPr>
          <w:rFonts w:asciiTheme="minorHAnsi" w:hAnsiTheme="minorHAnsi" w:cstheme="minorHAnsi"/>
          <w:sz w:val="26"/>
          <w:szCs w:val="26"/>
        </w:rPr>
      </w:pPr>
    </w:p>
    <w:p w14:paraId="22C53B2D" w14:textId="77777777" w:rsidR="0095526C" w:rsidRDefault="0095526C" w:rsidP="002A37AF">
      <w:pPr>
        <w:pStyle w:val="NormalWeb"/>
        <w:spacing w:before="0" w:beforeAutospacing="0" w:after="0" w:afterAutospacing="0" w:line="259" w:lineRule="auto"/>
        <w:jc w:val="both"/>
        <w:rPr>
          <w:rFonts w:asciiTheme="minorHAnsi" w:hAnsiTheme="minorHAnsi" w:cstheme="minorHAnsi"/>
          <w:sz w:val="26"/>
          <w:szCs w:val="26"/>
        </w:rPr>
      </w:pPr>
    </w:p>
    <w:p w14:paraId="046A38D2" w14:textId="337D177E" w:rsidR="00382B30" w:rsidRPr="00A75BB9" w:rsidRDefault="00382B30" w:rsidP="00382B30">
      <w:pPr>
        <w:pBdr>
          <w:top w:val="triple" w:sz="4" w:space="5" w:color="5497D4"/>
          <w:left w:val="triple" w:sz="4" w:space="5" w:color="5497D4"/>
          <w:bottom w:val="triple" w:sz="4" w:space="5" w:color="5497D4"/>
          <w:right w:val="triple" w:sz="4" w:space="5" w:color="5497D4"/>
        </w:pBdr>
        <w:spacing w:after="0"/>
        <w:jc w:val="center"/>
        <w:rPr>
          <w:rFonts w:cstheme="minorHAnsi"/>
          <w:b/>
          <w:bCs/>
          <w:sz w:val="40"/>
          <w:szCs w:val="40"/>
          <w:u w:val="single"/>
        </w:rPr>
      </w:pPr>
      <w:r w:rsidRPr="00A75BB9">
        <w:rPr>
          <w:rFonts w:cstheme="minorHAnsi"/>
          <w:b/>
          <w:bCs/>
          <w:sz w:val="40"/>
          <w:szCs w:val="40"/>
          <w:u w:val="single"/>
        </w:rPr>
        <w:lastRenderedPageBreak/>
        <w:t>Heat Illness Prevention</w:t>
      </w:r>
    </w:p>
    <w:p w14:paraId="7A127AD8" w14:textId="33F96431" w:rsidR="00382B30" w:rsidRPr="00A75BB9" w:rsidRDefault="00CC6670" w:rsidP="00382B30">
      <w:pPr>
        <w:pBdr>
          <w:top w:val="triple" w:sz="4" w:space="5" w:color="5497D4"/>
          <w:left w:val="triple" w:sz="4" w:space="5" w:color="5497D4"/>
          <w:bottom w:val="triple" w:sz="4" w:space="5" w:color="5497D4"/>
          <w:right w:val="triple" w:sz="4" w:space="5" w:color="5497D4"/>
        </w:pBdr>
        <w:spacing w:after="0"/>
        <w:jc w:val="both"/>
        <w:rPr>
          <w:rFonts w:cstheme="minorHAnsi"/>
          <w:bCs/>
          <w:sz w:val="26"/>
          <w:szCs w:val="26"/>
        </w:rPr>
      </w:pPr>
      <w:r w:rsidRPr="00A75BB9">
        <w:rPr>
          <w:rFonts w:eastAsia="Times New Roman" w:cstheme="minorHAnsi"/>
          <w:b/>
          <w:bCs/>
          <w:noProof/>
          <w:sz w:val="40"/>
          <w:szCs w:val="40"/>
          <w:u w:val="single"/>
        </w:rPr>
        <mc:AlternateContent>
          <mc:Choice Requires="wps">
            <w:drawing>
              <wp:anchor distT="0" distB="0" distL="114300" distR="114300" simplePos="0" relativeHeight="251659264" behindDoc="0" locked="0" layoutInCell="1" allowOverlap="1" wp14:anchorId="05ED2A8F" wp14:editId="0B4284F1">
                <wp:simplePos x="0" y="0"/>
                <wp:positionH relativeFrom="column">
                  <wp:posOffset>-215900</wp:posOffset>
                </wp:positionH>
                <wp:positionV relativeFrom="paragraph">
                  <wp:posOffset>490855</wp:posOffset>
                </wp:positionV>
                <wp:extent cx="1066800" cy="139065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1066800" cy="1390650"/>
                        </a:xfrm>
                        <a:prstGeom prst="rect">
                          <a:avLst/>
                        </a:prstGeom>
                        <a:solidFill>
                          <a:srgbClr val="5B9BD5"/>
                        </a:solidFill>
                        <a:ln w="12700" cap="flat" cmpd="sng" algn="ctr">
                          <a:solidFill>
                            <a:srgbClr val="5B9BD5">
                              <a:shade val="50000"/>
                            </a:srgbClr>
                          </a:solidFill>
                          <a:prstDash val="solid"/>
                          <a:miter lim="800000"/>
                        </a:ln>
                        <a:effectLst/>
                      </wps:spPr>
                      <wps:txbx>
                        <w:txbxContent>
                          <w:p w14:paraId="3ABA5589" w14:textId="77777777" w:rsidR="00382B30" w:rsidRPr="008D4B16" w:rsidRDefault="00382B30" w:rsidP="00CC6670">
                            <w:pPr>
                              <w:shd w:val="clear" w:color="auto" w:fill="D9E2F3" w:themeFill="accent1" w:themeFillTint="33"/>
                              <w:spacing w:after="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Did </w:t>
                            </w:r>
                          </w:p>
                          <w:p w14:paraId="19704DED" w14:textId="77777777" w:rsidR="00382B30" w:rsidRPr="008D4B16" w:rsidRDefault="00382B30" w:rsidP="00CC6670">
                            <w:pPr>
                              <w:shd w:val="clear" w:color="auto" w:fill="D9E2F3" w:themeFill="accent1" w:themeFillTint="33"/>
                              <w:spacing w:after="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CC6670">
                              <w:rPr>
                                <w:b/>
                                <w:color w:val="5497D4"/>
                                <w:sz w:val="44"/>
                                <w:szCs w:val="44"/>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You</w:t>
                            </w: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 Know?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05ED2A8F" id="_x0000_t202" coordsize="21600,21600" o:spt="202" path="m,l,21600r21600,l21600,xe">
                <v:stroke joinstyle="miter"/>
                <v:path gradientshapeok="t" o:connecttype="rect"/>
              </v:shapetype>
              <v:shape id="Text Box 2" o:spid="_x0000_s1026" type="#_x0000_t202" style="position:absolute;left:0;text-align:left;margin-left:-17pt;margin-top:38.65pt;width:84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" fillcolor="#5b9bd5" strokecolor="#41719c" strokeweight="1pt">
                <v:textbox>
                  <w:txbxContent>
                    <w:p w14:paraId="3ABA5589" w14:textId="77777777" w:rsidR="00382B30" w:rsidRPr="008D4B16" w:rsidRDefault="00382B30" w:rsidP="00CC6670">
                      <w:pPr>
                        <w:shd w:val="clear" w:color="auto" w:fill="D9E2F3" w:themeFill="accent1" w:themeFillTint="33"/>
                        <w:spacing w:after="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Did </w:t>
                      </w:r>
                    </w:p>
                    <w:p w14:paraId="19704DED" w14:textId="77777777" w:rsidR="00382B30" w:rsidRPr="008D4B16" w:rsidRDefault="00382B30" w:rsidP="00CC6670">
                      <w:pPr>
                        <w:shd w:val="clear" w:color="auto" w:fill="D9E2F3" w:themeFill="accent1" w:themeFillTint="33"/>
                        <w:spacing w:after="0"/>
                        <w:jc w:val="center"/>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CC6670">
                        <w:rPr>
                          <w:b/>
                          <w:color w:val="5497D4"/>
                          <w:sz w:val="44"/>
                          <w:szCs w:val="44"/>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You</w:t>
                      </w:r>
                      <w:r w:rsidRPr="008D4B16">
                        <w:rPr>
                          <w:b/>
                          <w:color w:val="5497D4"/>
                          <w:sz w:val="48"/>
                          <w:szCs w:val="48"/>
                          <w14:shadow w14:blurRad="50800" w14:dist="39001" w14:dir="5460000" w14:sx="100000" w14:sy="100000" w14:kx="0" w14:ky="0" w14:algn="tl">
                            <w14:srgbClr w14:val="000000">
                              <w14:alpha w14:val="62000"/>
                            </w14:srgbClr>
                          </w14:shadow>
                          <w14:textOutline w14:w="5715" w14:cap="flat" w14:cmpd="sng" w14:algn="ctr">
                            <w14:solidFill>
                              <w14:srgbClr w14:val="0099FF"/>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 Know?</w:t>
                      </w:r>
                    </w:p>
                  </w:txbxContent>
                </v:textbox>
                <w10:wrap type="square"/>
              </v:shape>
            </w:pict>
          </mc:Fallback>
        </mc:AlternateContent>
      </w:r>
      <w:r w:rsidR="00382B30" w:rsidRPr="00A75BB9">
        <w:rPr>
          <w:rFonts w:cstheme="minorHAnsi"/>
          <w:bCs/>
          <w:sz w:val="26"/>
          <w:szCs w:val="26"/>
        </w:rPr>
        <w:t xml:space="preserve">Forecasters are calling for scorching temperatures in August.  To help prevent heat illness, the Occupational Safety </w:t>
      </w:r>
      <w:r w:rsidR="000646E4">
        <w:rPr>
          <w:rFonts w:cstheme="minorHAnsi"/>
          <w:bCs/>
          <w:sz w:val="26"/>
          <w:szCs w:val="26"/>
        </w:rPr>
        <w:t>&amp;</w:t>
      </w:r>
      <w:r w:rsidR="00382B30" w:rsidRPr="00A75BB9">
        <w:rPr>
          <w:rFonts w:cstheme="minorHAnsi"/>
          <w:bCs/>
          <w:sz w:val="26"/>
          <w:szCs w:val="26"/>
        </w:rPr>
        <w:t xml:space="preserve"> Health Administration recently published </w:t>
      </w:r>
      <w:r w:rsidR="00E3178F">
        <w:rPr>
          <w:rFonts w:cstheme="minorHAnsi"/>
          <w:bCs/>
          <w:sz w:val="26"/>
          <w:szCs w:val="26"/>
        </w:rPr>
        <w:t>resources</w:t>
      </w:r>
      <w:r w:rsidR="00382B30" w:rsidRPr="00A75BB9">
        <w:rPr>
          <w:rFonts w:cstheme="minorHAnsi"/>
          <w:bCs/>
          <w:sz w:val="26"/>
          <w:szCs w:val="26"/>
        </w:rPr>
        <w:t xml:space="preserve"> includ</w:t>
      </w:r>
      <w:r w:rsidR="000646E4">
        <w:rPr>
          <w:rFonts w:cstheme="minorHAnsi"/>
          <w:bCs/>
          <w:sz w:val="26"/>
          <w:szCs w:val="26"/>
        </w:rPr>
        <w:t>ing</w:t>
      </w:r>
      <w:r w:rsidR="00382B30" w:rsidRPr="00A75BB9">
        <w:rPr>
          <w:rFonts w:cstheme="minorHAnsi"/>
          <w:bCs/>
          <w:sz w:val="26"/>
          <w:szCs w:val="26"/>
        </w:rPr>
        <w:t xml:space="preserve">: </w:t>
      </w:r>
    </w:p>
    <w:p w14:paraId="31FFB744" w14:textId="77777777" w:rsidR="00382B30" w:rsidRPr="00A75BB9" w:rsidRDefault="00382B30" w:rsidP="00382B30">
      <w:pPr>
        <w:pBdr>
          <w:top w:val="triple" w:sz="4" w:space="5" w:color="5497D4"/>
          <w:left w:val="triple" w:sz="4" w:space="5" w:color="5497D4"/>
          <w:bottom w:val="triple" w:sz="4" w:space="5" w:color="5497D4"/>
          <w:right w:val="triple" w:sz="4" w:space="5" w:color="5497D4"/>
        </w:pBdr>
        <w:spacing w:after="0"/>
        <w:jc w:val="both"/>
        <w:rPr>
          <w:rFonts w:cstheme="minorHAnsi"/>
          <w:bCs/>
          <w:sz w:val="12"/>
          <w:szCs w:val="12"/>
        </w:rPr>
      </w:pPr>
    </w:p>
    <w:p w14:paraId="3A267CDA" w14:textId="77777777" w:rsidR="00382B30" w:rsidRPr="00A75BB9" w:rsidRDefault="00382B30" w:rsidP="00382B30">
      <w:pPr>
        <w:pBdr>
          <w:top w:val="triple" w:sz="4" w:space="5" w:color="5497D4"/>
          <w:left w:val="triple" w:sz="4" w:space="5" w:color="5497D4"/>
          <w:bottom w:val="triple" w:sz="4" w:space="5" w:color="5497D4"/>
          <w:right w:val="triple" w:sz="4" w:space="5" w:color="5497D4"/>
        </w:pBdr>
        <w:spacing w:after="0"/>
        <w:jc w:val="both"/>
        <w:rPr>
          <w:rFonts w:cstheme="minorHAnsi"/>
          <w:bCs/>
          <w:sz w:val="26"/>
          <w:szCs w:val="26"/>
        </w:rPr>
      </w:pPr>
      <w:r w:rsidRPr="00A75BB9">
        <w:rPr>
          <w:rFonts w:cstheme="minorHAnsi"/>
          <w:b/>
          <w:sz w:val="26"/>
          <w:szCs w:val="26"/>
          <w:u w:val="single"/>
        </w:rPr>
        <w:t>Water-Rest-Shade</w:t>
      </w:r>
      <w:r w:rsidRPr="00A75BB9">
        <w:rPr>
          <w:rFonts w:cstheme="minorHAnsi"/>
          <w:bCs/>
          <w:sz w:val="26"/>
          <w:szCs w:val="26"/>
        </w:rPr>
        <w:t xml:space="preserve">:  Drink about 1 cup of water every 15-20 minutes.  You may need sports beverages containing balanced electrolytes if you are sweating for several hours at a time.  You should have access to shaded or air-conditioned rest areas for cooling down as needed. </w:t>
      </w:r>
    </w:p>
    <w:p w14:paraId="7190862B" w14:textId="77777777" w:rsidR="00382B30" w:rsidRPr="00A75BB9" w:rsidRDefault="00382B30" w:rsidP="00382B30">
      <w:pPr>
        <w:pBdr>
          <w:top w:val="triple" w:sz="4" w:space="5" w:color="5497D4"/>
          <w:left w:val="triple" w:sz="4" w:space="5" w:color="5497D4"/>
          <w:bottom w:val="triple" w:sz="4" w:space="5" w:color="5497D4"/>
          <w:right w:val="triple" w:sz="4" w:space="5" w:color="5497D4"/>
        </w:pBdr>
        <w:spacing w:after="0"/>
        <w:jc w:val="both"/>
        <w:rPr>
          <w:rFonts w:cstheme="minorHAnsi"/>
          <w:bCs/>
          <w:sz w:val="12"/>
          <w:szCs w:val="12"/>
        </w:rPr>
      </w:pPr>
    </w:p>
    <w:p w14:paraId="50780AB1" w14:textId="77777777" w:rsidR="00382B30" w:rsidRPr="00A75BB9" w:rsidRDefault="00382B30" w:rsidP="00382B30">
      <w:pPr>
        <w:pBdr>
          <w:top w:val="triple" w:sz="4" w:space="5" w:color="5497D4"/>
          <w:left w:val="triple" w:sz="4" w:space="5" w:color="5497D4"/>
          <w:bottom w:val="triple" w:sz="4" w:space="5" w:color="5497D4"/>
          <w:right w:val="triple" w:sz="4" w:space="5" w:color="5497D4"/>
        </w:pBdr>
        <w:spacing w:after="0"/>
        <w:jc w:val="both"/>
        <w:rPr>
          <w:rFonts w:cstheme="minorHAnsi"/>
          <w:bCs/>
          <w:sz w:val="26"/>
          <w:szCs w:val="26"/>
        </w:rPr>
      </w:pPr>
      <w:r w:rsidRPr="00A75BB9">
        <w:rPr>
          <w:rFonts w:cstheme="minorHAnsi"/>
          <w:b/>
          <w:sz w:val="26"/>
          <w:szCs w:val="26"/>
          <w:u w:val="single"/>
        </w:rPr>
        <w:t>Who is Most at Risk?</w:t>
      </w:r>
      <w:r w:rsidRPr="00A75BB9">
        <w:rPr>
          <w:rFonts w:cstheme="minorHAnsi"/>
          <w:bCs/>
          <w:sz w:val="26"/>
          <w:szCs w:val="26"/>
        </w:rPr>
        <w:t xml:space="preserve">  New and temporary workers.  The body needs time to build a tolerance </w:t>
      </w:r>
      <w:r>
        <w:rPr>
          <w:rFonts w:cstheme="minorHAnsi"/>
          <w:bCs/>
          <w:sz w:val="26"/>
          <w:szCs w:val="26"/>
        </w:rPr>
        <w:t>f</w:t>
      </w:r>
      <w:r w:rsidRPr="00A75BB9">
        <w:rPr>
          <w:rFonts w:cstheme="minorHAnsi"/>
          <w:bCs/>
          <w:sz w:val="26"/>
          <w:szCs w:val="26"/>
        </w:rPr>
        <w:t>o</w:t>
      </w:r>
      <w:r>
        <w:rPr>
          <w:rFonts w:cstheme="minorHAnsi"/>
          <w:bCs/>
          <w:sz w:val="26"/>
          <w:szCs w:val="26"/>
        </w:rPr>
        <w:t>r</w:t>
      </w:r>
      <w:r w:rsidRPr="00A75BB9">
        <w:rPr>
          <w:rFonts w:cstheme="minorHAnsi"/>
          <w:bCs/>
          <w:sz w:val="26"/>
          <w:szCs w:val="26"/>
        </w:rPr>
        <w:t xml:space="preserve"> heat.  More than 70% of outdoor heat fatalities occur during a worker’s first week of work in warm or hot environments.  The process of building tolerance is called “heat acclimatization.”  If your workstation is indoors, but not temperature controlled, you may still be at risk.  This includes public works yards, maintenance </w:t>
      </w:r>
      <w:r>
        <w:rPr>
          <w:rFonts w:cstheme="minorHAnsi"/>
          <w:bCs/>
          <w:sz w:val="26"/>
          <w:szCs w:val="26"/>
        </w:rPr>
        <w:t xml:space="preserve">or fleet </w:t>
      </w:r>
      <w:r w:rsidRPr="00A75BB9">
        <w:rPr>
          <w:rFonts w:cstheme="minorHAnsi"/>
          <w:bCs/>
          <w:sz w:val="26"/>
          <w:szCs w:val="26"/>
        </w:rPr>
        <w:t>garages, covered plant or facility areas, warehouses, heating or electrical rooms, confined spaces, etc.</w:t>
      </w:r>
    </w:p>
    <w:p w14:paraId="283F17DF" w14:textId="77777777" w:rsidR="00382B30" w:rsidRPr="00A75BB9" w:rsidRDefault="00382B30" w:rsidP="00382B30">
      <w:pPr>
        <w:pBdr>
          <w:top w:val="triple" w:sz="4" w:space="5" w:color="5497D4"/>
          <w:left w:val="triple" w:sz="4" w:space="5" w:color="5497D4"/>
          <w:bottom w:val="triple" w:sz="4" w:space="5" w:color="5497D4"/>
          <w:right w:val="triple" w:sz="4" w:space="5" w:color="5497D4"/>
        </w:pBdr>
        <w:spacing w:after="0"/>
        <w:jc w:val="both"/>
        <w:rPr>
          <w:rFonts w:cstheme="minorHAnsi"/>
          <w:bCs/>
          <w:sz w:val="12"/>
          <w:szCs w:val="12"/>
        </w:rPr>
      </w:pPr>
    </w:p>
    <w:p w14:paraId="17838B40" w14:textId="77777777" w:rsidR="00382B30" w:rsidRPr="00A75BB9" w:rsidRDefault="00382B30" w:rsidP="00382B30">
      <w:pPr>
        <w:pBdr>
          <w:top w:val="triple" w:sz="4" w:space="5" w:color="5497D4"/>
          <w:left w:val="triple" w:sz="4" w:space="5" w:color="5497D4"/>
          <w:bottom w:val="triple" w:sz="4" w:space="5" w:color="5497D4"/>
          <w:right w:val="triple" w:sz="4" w:space="5" w:color="5497D4"/>
        </w:pBdr>
        <w:spacing w:after="0"/>
        <w:jc w:val="both"/>
        <w:rPr>
          <w:rFonts w:cstheme="minorHAnsi"/>
          <w:bCs/>
          <w:sz w:val="26"/>
          <w:szCs w:val="26"/>
        </w:rPr>
      </w:pPr>
      <w:r w:rsidRPr="00A75BB9">
        <w:rPr>
          <w:rFonts w:cstheme="minorHAnsi"/>
          <w:b/>
          <w:sz w:val="26"/>
          <w:szCs w:val="26"/>
          <w:u w:val="single"/>
        </w:rPr>
        <w:t>Avoid &amp; Adjust</w:t>
      </w:r>
      <w:r w:rsidRPr="00A75BB9">
        <w:rPr>
          <w:rFonts w:cstheme="minorHAnsi"/>
          <w:bCs/>
          <w:sz w:val="26"/>
          <w:szCs w:val="26"/>
        </w:rPr>
        <w:t>:  Avoid a</w:t>
      </w:r>
      <w:r w:rsidRPr="00A75BB9">
        <w:rPr>
          <w:rFonts w:eastAsia="Times New Roman" w:cstheme="minorHAnsi"/>
          <w:sz w:val="26"/>
          <w:szCs w:val="26"/>
        </w:rPr>
        <w:t xml:space="preserve">lcohol and drinks with caffeine, which can cause dehydration.  Some medications, such as antihistamines, certain antidepressants, and tranquilizers, </w:t>
      </w:r>
      <w:r>
        <w:rPr>
          <w:rFonts w:eastAsia="Times New Roman" w:cstheme="minorHAnsi"/>
          <w:sz w:val="26"/>
          <w:szCs w:val="26"/>
        </w:rPr>
        <w:t xml:space="preserve">can </w:t>
      </w:r>
      <w:r w:rsidRPr="00A75BB9">
        <w:rPr>
          <w:rFonts w:eastAsia="Times New Roman" w:cstheme="minorHAnsi"/>
          <w:sz w:val="26"/>
          <w:szCs w:val="26"/>
        </w:rPr>
        <w:t xml:space="preserve">also increase the risk of heat-related illness.  Avoid layers or thick clothing.  Adjust as needed.  </w:t>
      </w:r>
      <w:r w:rsidRPr="00A75BB9">
        <w:rPr>
          <w:rFonts w:cstheme="minorHAnsi"/>
          <w:bCs/>
          <w:sz w:val="26"/>
          <w:szCs w:val="26"/>
        </w:rPr>
        <w:t>This may include improving ventilation, using cooling fans, and wearing hats and lighter clothing.  It may also mean asking management to schedule work at a cooler time of day or to rotate job functions among workers to minimize heat exposure.</w:t>
      </w:r>
    </w:p>
    <w:p w14:paraId="2C81C36F" w14:textId="77777777" w:rsidR="00382B30" w:rsidRPr="00A75BB9" w:rsidRDefault="00382B30" w:rsidP="00382B30">
      <w:pPr>
        <w:pBdr>
          <w:top w:val="triple" w:sz="4" w:space="5" w:color="5497D4"/>
          <w:left w:val="triple" w:sz="4" w:space="5" w:color="5497D4"/>
          <w:bottom w:val="triple" w:sz="4" w:space="5" w:color="5497D4"/>
          <w:right w:val="triple" w:sz="4" w:space="5" w:color="5497D4"/>
        </w:pBdr>
        <w:spacing w:after="0"/>
        <w:jc w:val="both"/>
        <w:rPr>
          <w:rFonts w:cstheme="minorHAnsi"/>
          <w:bCs/>
          <w:sz w:val="12"/>
          <w:szCs w:val="12"/>
        </w:rPr>
      </w:pPr>
    </w:p>
    <w:p w14:paraId="0933411C" w14:textId="77777777" w:rsidR="00382B30" w:rsidRPr="00A75BB9" w:rsidRDefault="00382B30" w:rsidP="00382B30">
      <w:pPr>
        <w:pBdr>
          <w:top w:val="triple" w:sz="4" w:space="5" w:color="5497D4"/>
          <w:left w:val="triple" w:sz="4" w:space="5" w:color="5497D4"/>
          <w:bottom w:val="triple" w:sz="4" w:space="5" w:color="5497D4"/>
          <w:right w:val="triple" w:sz="4" w:space="5" w:color="5497D4"/>
        </w:pBdr>
        <w:spacing w:after="0"/>
        <w:jc w:val="both"/>
        <w:rPr>
          <w:rFonts w:cstheme="minorHAnsi"/>
          <w:bCs/>
          <w:sz w:val="26"/>
          <w:szCs w:val="26"/>
        </w:rPr>
      </w:pPr>
      <w:r>
        <w:rPr>
          <w:rFonts w:cstheme="minorHAnsi"/>
          <w:b/>
          <w:sz w:val="26"/>
          <w:szCs w:val="26"/>
          <w:u w:val="single"/>
        </w:rPr>
        <w:t>Stay Safe</w:t>
      </w:r>
      <w:r w:rsidRPr="00A75BB9">
        <w:rPr>
          <w:rFonts w:cstheme="minorHAnsi"/>
          <w:bCs/>
          <w:sz w:val="26"/>
          <w:szCs w:val="26"/>
        </w:rPr>
        <w:t xml:space="preserve">:  Common heat exhaustion signs are dizziness, headaches, cramps, sweaty skin, nausea and vomiting, weakness, and a fast heartbeat.  Heatstroke symptoms may include red, hot, dry skin; convulsions; fainting; very-high temperature; and confusion.  Work in pairs and observe each other for early signs of symptoms of heat intolerance.  Call for help if a co-worker is ill, or 911 if it is an emergency.  </w:t>
      </w:r>
      <w:r w:rsidRPr="00A75BB9">
        <w:rPr>
          <w:rFonts w:eastAsia="Times New Roman" w:cstheme="minorHAnsi"/>
          <w:sz w:val="26"/>
          <w:szCs w:val="26"/>
        </w:rPr>
        <w:t>Move to a cooler, shaded area.  Do not go alone.  Lie down with feet elevated.  Cool down by fanning and applying wet cloths.  Loosen tight clothing.  Put cool water on your body.  Wait for medical help to arrive.</w:t>
      </w:r>
    </w:p>
    <w:p w14:paraId="0E55831A" w14:textId="77777777" w:rsidR="00382B30" w:rsidRPr="00A75BB9" w:rsidRDefault="00382B30" w:rsidP="00382B30">
      <w:pPr>
        <w:pBdr>
          <w:top w:val="triple" w:sz="4" w:space="5" w:color="5497D4"/>
          <w:left w:val="triple" w:sz="4" w:space="5" w:color="5497D4"/>
          <w:bottom w:val="triple" w:sz="4" w:space="5" w:color="5497D4"/>
          <w:right w:val="triple" w:sz="4" w:space="5" w:color="5497D4"/>
        </w:pBdr>
        <w:spacing w:after="0"/>
        <w:jc w:val="both"/>
        <w:rPr>
          <w:rFonts w:cstheme="minorHAnsi"/>
          <w:b/>
          <w:sz w:val="12"/>
          <w:szCs w:val="12"/>
          <w:u w:val="single"/>
        </w:rPr>
      </w:pPr>
    </w:p>
    <w:p w14:paraId="01932B34" w14:textId="77777777" w:rsidR="00382B30" w:rsidRPr="00A75BB9" w:rsidRDefault="00382B30" w:rsidP="00382B30">
      <w:pPr>
        <w:pBdr>
          <w:top w:val="triple" w:sz="4" w:space="5" w:color="5497D4"/>
          <w:left w:val="triple" w:sz="4" w:space="5" w:color="5497D4"/>
          <w:bottom w:val="triple" w:sz="4" w:space="5" w:color="5497D4"/>
          <w:right w:val="triple" w:sz="4" w:space="5" w:color="5497D4"/>
        </w:pBdr>
        <w:spacing w:after="0"/>
        <w:jc w:val="both"/>
        <w:rPr>
          <w:rFonts w:cstheme="minorHAnsi"/>
          <w:bCs/>
          <w:sz w:val="26"/>
          <w:szCs w:val="26"/>
        </w:rPr>
      </w:pPr>
      <w:r>
        <w:rPr>
          <w:rFonts w:cstheme="minorHAnsi"/>
          <w:b/>
          <w:sz w:val="26"/>
          <w:szCs w:val="26"/>
          <w:u w:val="single"/>
        </w:rPr>
        <w:t>Seek Help</w:t>
      </w:r>
      <w:r w:rsidRPr="00A75BB9">
        <w:rPr>
          <w:rFonts w:cstheme="minorHAnsi"/>
          <w:b/>
          <w:sz w:val="26"/>
          <w:szCs w:val="26"/>
          <w:u w:val="single"/>
        </w:rPr>
        <w:t>!</w:t>
      </w:r>
      <w:r w:rsidRPr="00A75BB9">
        <w:rPr>
          <w:rFonts w:cstheme="minorHAnsi"/>
          <w:bCs/>
          <w:sz w:val="26"/>
          <w:szCs w:val="26"/>
        </w:rPr>
        <w:t xml:space="preserve">  Look for the OSHA-NIOSH Heat Safety App in your iPhone or Android store, which can calculate</w:t>
      </w:r>
      <w:r>
        <w:rPr>
          <w:rFonts w:cstheme="minorHAnsi"/>
          <w:bCs/>
          <w:sz w:val="26"/>
          <w:szCs w:val="26"/>
        </w:rPr>
        <w:t xml:space="preserve"> your worksite’s</w:t>
      </w:r>
      <w:r w:rsidRPr="00A75BB9">
        <w:rPr>
          <w:rFonts w:cstheme="minorHAnsi"/>
          <w:bCs/>
          <w:sz w:val="26"/>
          <w:szCs w:val="26"/>
        </w:rPr>
        <w:t xml:space="preserve"> heat index.  It provides specific recommendations for planning work activities and preventing heat illness based on the estimated risk level where you are working.  </w:t>
      </w:r>
      <w:r>
        <w:rPr>
          <w:rFonts w:cstheme="minorHAnsi"/>
          <w:bCs/>
          <w:sz w:val="26"/>
          <w:szCs w:val="26"/>
        </w:rPr>
        <w:t>If you encounter unsafe heat conditions, tell your employer and if nothing changes, contact staff.  You can also reach</w:t>
      </w:r>
      <w:r w:rsidRPr="00A75BB9">
        <w:rPr>
          <w:rFonts w:cstheme="minorHAnsi"/>
          <w:bCs/>
          <w:sz w:val="26"/>
          <w:szCs w:val="26"/>
        </w:rPr>
        <w:t xml:space="preserve"> OSHA at 1-800-321-6742 (OSHA).</w:t>
      </w:r>
    </w:p>
    <w:p w14:paraId="30A88640" w14:textId="0360E5F9" w:rsidR="007C012C" w:rsidRPr="006F39E8" w:rsidRDefault="007C012C" w:rsidP="007C012C">
      <w:pPr>
        <w:spacing w:after="0" w:line="240" w:lineRule="auto"/>
        <w:jc w:val="center"/>
        <w:rPr>
          <w:rFonts w:eastAsia="Times New Roman" w:cstheme="minorHAnsi"/>
          <w:b/>
          <w:sz w:val="52"/>
          <w:szCs w:val="40"/>
        </w:rPr>
      </w:pPr>
      <w:r w:rsidRPr="006F39E8">
        <w:rPr>
          <w:rFonts w:eastAsia="Times New Roman" w:cstheme="minorHAnsi"/>
          <w:b/>
          <w:sz w:val="52"/>
          <w:szCs w:val="40"/>
        </w:rPr>
        <w:lastRenderedPageBreak/>
        <w:t>Questions &amp; Answers about Your Job</w:t>
      </w:r>
    </w:p>
    <w:p w14:paraId="4C330A69" w14:textId="77777777" w:rsidR="007C012C" w:rsidRPr="00107B9D" w:rsidRDefault="007C012C" w:rsidP="007C012C">
      <w:pPr>
        <w:spacing w:after="0" w:line="240" w:lineRule="auto"/>
        <w:jc w:val="both"/>
        <w:rPr>
          <w:rFonts w:eastAsia="Times New Roman" w:cstheme="minorHAnsi"/>
          <w:i/>
        </w:rPr>
        <w:sectPr w:rsidR="007C012C" w:rsidRPr="00107B9D" w:rsidSect="00544E0D">
          <w:footerReference w:type="default" r:id="rId8"/>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space="720"/>
          <w:docGrid w:linePitch="360"/>
        </w:sectPr>
      </w:pPr>
      <w:r w:rsidRPr="006F39E8">
        <w:rPr>
          <w:rFonts w:eastAsia="Times New Roman" w:cstheme="minorHAnsi"/>
          <w:i/>
        </w:rPr>
        <w:t xml:space="preserve">Each month we receive dozens of questions about your rights on the job.  The following are some GENERAL answers.  If </w:t>
      </w:r>
      <w:r w:rsidRPr="006F39E8">
        <w:rPr>
          <w:rFonts w:eastAsia="Times New Roman" w:cstheme="minorHAnsi"/>
          <w:i/>
          <w:u w:val="single"/>
        </w:rPr>
        <w:t>you</w:t>
      </w:r>
      <w:r w:rsidRPr="006F39E8">
        <w:rPr>
          <w:rFonts w:eastAsia="Times New Roman" w:cstheme="minorHAnsi"/>
          <w:i/>
        </w:rPr>
        <w:t xml:space="preserve"> have a specific problem, talk to</w:t>
      </w:r>
      <w:r>
        <w:rPr>
          <w:rFonts w:eastAsia="Times New Roman" w:cstheme="minorHAnsi"/>
          <w:i/>
        </w:rPr>
        <w:t xml:space="preserve"> your professional s</w:t>
      </w:r>
      <w:r w:rsidRPr="006F39E8">
        <w:rPr>
          <w:rFonts w:eastAsia="Times New Roman" w:cstheme="minorHAnsi"/>
          <w:i/>
        </w:rPr>
        <w:t>taff.</w:t>
      </w:r>
      <w:r w:rsidRPr="00107B9D">
        <w:rPr>
          <w:rFonts w:eastAsia="Times New Roman" w:cstheme="minorHAnsi"/>
          <w:i/>
        </w:rPr>
        <w:t xml:space="preserve">  </w:t>
      </w:r>
    </w:p>
    <w:p w14:paraId="5D232AB8" w14:textId="77777777" w:rsidR="007C012C" w:rsidRPr="006F39E8" w:rsidRDefault="007C012C" w:rsidP="007C012C">
      <w:pPr>
        <w:spacing w:after="0" w:line="240" w:lineRule="auto"/>
        <w:jc w:val="both"/>
        <w:rPr>
          <w:rFonts w:cstheme="minorHAnsi"/>
          <w:sz w:val="27"/>
          <w:szCs w:val="27"/>
        </w:rPr>
        <w:sectPr w:rsidR="007C012C" w:rsidRPr="006F39E8" w:rsidSect="00544E0D">
          <w:footerReference w:type="default" r:id="rId9"/>
          <w:type w:val="continuous"/>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num="2" w:space="720"/>
          <w:docGrid w:linePitch="360"/>
        </w:sectPr>
      </w:pPr>
    </w:p>
    <w:p w14:paraId="4860CB73" w14:textId="3FA4DF9F" w:rsidR="00EF27C6" w:rsidRPr="004803A4" w:rsidRDefault="00EF27C6" w:rsidP="00EF27C6">
      <w:pPr>
        <w:jc w:val="both"/>
        <w:rPr>
          <w:rFonts w:cstheme="minorHAnsi"/>
          <w:b/>
          <w:sz w:val="26"/>
          <w:szCs w:val="26"/>
        </w:rPr>
      </w:pPr>
      <w:r w:rsidRPr="004803A4">
        <w:rPr>
          <w:rFonts w:cstheme="minorHAnsi"/>
          <w:b/>
          <w:sz w:val="26"/>
          <w:szCs w:val="26"/>
        </w:rPr>
        <w:t xml:space="preserve">Question:  </w:t>
      </w:r>
      <w:r w:rsidR="00B96507">
        <w:rPr>
          <w:rFonts w:cstheme="minorHAnsi"/>
          <w:b/>
          <w:sz w:val="26"/>
          <w:szCs w:val="26"/>
        </w:rPr>
        <w:t>Our Agency</w:t>
      </w:r>
      <w:r>
        <w:rPr>
          <w:rFonts w:cstheme="minorHAnsi"/>
          <w:b/>
          <w:sz w:val="26"/>
          <w:szCs w:val="26"/>
        </w:rPr>
        <w:t xml:space="preserve"> just issued a new </w:t>
      </w:r>
      <w:r w:rsidR="00B96507">
        <w:rPr>
          <w:rFonts w:cstheme="minorHAnsi"/>
          <w:b/>
          <w:sz w:val="26"/>
          <w:szCs w:val="26"/>
        </w:rPr>
        <w:t>policy</w:t>
      </w:r>
      <w:r>
        <w:rPr>
          <w:rFonts w:cstheme="minorHAnsi"/>
          <w:b/>
          <w:sz w:val="26"/>
          <w:szCs w:val="26"/>
        </w:rPr>
        <w:t xml:space="preserve"> for travel to an area where there is widespread community transmission of COVID-19.  Employees </w:t>
      </w:r>
      <w:r w:rsidR="00135A7D">
        <w:rPr>
          <w:rFonts w:cstheme="minorHAnsi"/>
          <w:b/>
          <w:sz w:val="26"/>
          <w:szCs w:val="26"/>
        </w:rPr>
        <w:t>must</w:t>
      </w:r>
      <w:r>
        <w:rPr>
          <w:rFonts w:cstheme="minorHAnsi"/>
          <w:b/>
          <w:sz w:val="26"/>
          <w:szCs w:val="26"/>
        </w:rPr>
        <w:t xml:space="preserve"> notify their Director immediately if they have traveled </w:t>
      </w:r>
      <w:r w:rsidR="00135A7D">
        <w:rPr>
          <w:rFonts w:cstheme="minorHAnsi"/>
          <w:b/>
          <w:sz w:val="26"/>
          <w:szCs w:val="26"/>
        </w:rPr>
        <w:t>there</w:t>
      </w:r>
      <w:r>
        <w:rPr>
          <w:rFonts w:cstheme="minorHAnsi"/>
          <w:b/>
          <w:sz w:val="26"/>
          <w:szCs w:val="26"/>
        </w:rPr>
        <w:t xml:space="preserve">.  </w:t>
      </w:r>
      <w:r w:rsidR="00135A7D">
        <w:rPr>
          <w:rFonts w:cstheme="minorHAnsi"/>
          <w:b/>
          <w:sz w:val="26"/>
          <w:szCs w:val="26"/>
        </w:rPr>
        <w:t>It</w:t>
      </w:r>
      <w:r>
        <w:rPr>
          <w:rFonts w:cstheme="minorHAnsi"/>
          <w:b/>
          <w:sz w:val="26"/>
          <w:szCs w:val="26"/>
        </w:rPr>
        <w:t xml:space="preserve"> then says, “be advised that there are virtually no areas where widespread community transmission is not prevalent at this time.”  Employees </w:t>
      </w:r>
      <w:r w:rsidR="00135A7D">
        <w:rPr>
          <w:rFonts w:cstheme="minorHAnsi"/>
          <w:b/>
          <w:sz w:val="26"/>
          <w:szCs w:val="26"/>
        </w:rPr>
        <w:t>must</w:t>
      </w:r>
      <w:r>
        <w:rPr>
          <w:rFonts w:cstheme="minorHAnsi"/>
          <w:b/>
          <w:sz w:val="26"/>
          <w:szCs w:val="26"/>
        </w:rPr>
        <w:t xml:space="preserve"> self-quarantine for at least 14 days or until such time as negative results </w:t>
      </w:r>
      <w:r w:rsidR="00135A7D">
        <w:rPr>
          <w:rFonts w:cstheme="minorHAnsi"/>
          <w:b/>
          <w:sz w:val="26"/>
          <w:szCs w:val="26"/>
        </w:rPr>
        <w:t>are</w:t>
      </w:r>
      <w:r>
        <w:rPr>
          <w:rFonts w:cstheme="minorHAnsi"/>
          <w:b/>
          <w:sz w:val="26"/>
          <w:szCs w:val="26"/>
        </w:rPr>
        <w:t xml:space="preserve"> confirmed from a COVID-19 test.  Employees must draw down their sick leave, vacation, and other leave balances, in that order, during any self-quarantine.  </w:t>
      </w:r>
      <w:r w:rsidR="00F56B35">
        <w:rPr>
          <w:rFonts w:cstheme="minorHAnsi"/>
          <w:b/>
          <w:sz w:val="26"/>
          <w:szCs w:val="26"/>
        </w:rPr>
        <w:t xml:space="preserve">I feel like our </w:t>
      </w:r>
      <w:r>
        <w:rPr>
          <w:rFonts w:cstheme="minorHAnsi"/>
          <w:b/>
          <w:sz w:val="26"/>
          <w:szCs w:val="26"/>
        </w:rPr>
        <w:t>rights and liberties are being stepped on here</w:t>
      </w:r>
      <w:r w:rsidR="00B96507">
        <w:rPr>
          <w:rFonts w:cstheme="minorHAnsi"/>
          <w:b/>
          <w:sz w:val="26"/>
          <w:szCs w:val="26"/>
        </w:rPr>
        <w:t>!</w:t>
      </w:r>
      <w:r>
        <w:rPr>
          <w:rFonts w:cstheme="minorHAnsi"/>
          <w:b/>
          <w:sz w:val="26"/>
          <w:szCs w:val="26"/>
        </w:rPr>
        <w:t xml:space="preserve">  Can they really prevent us from traveling during our non-work time?  There is </w:t>
      </w:r>
      <w:r w:rsidR="003D3AD7">
        <w:rPr>
          <w:rFonts w:cstheme="minorHAnsi"/>
          <w:b/>
          <w:sz w:val="26"/>
          <w:szCs w:val="26"/>
        </w:rPr>
        <w:t xml:space="preserve">a </w:t>
      </w:r>
      <w:r>
        <w:rPr>
          <w:rFonts w:cstheme="minorHAnsi"/>
          <w:b/>
          <w:sz w:val="26"/>
          <w:szCs w:val="26"/>
        </w:rPr>
        <w:t xml:space="preserve">far greater risk of contracting the virus locally than if we </w:t>
      </w:r>
      <w:r w:rsidR="00135A7D">
        <w:rPr>
          <w:rFonts w:cstheme="minorHAnsi"/>
          <w:b/>
          <w:sz w:val="26"/>
          <w:szCs w:val="26"/>
        </w:rPr>
        <w:t>go</w:t>
      </w:r>
      <w:r>
        <w:rPr>
          <w:rFonts w:cstheme="minorHAnsi"/>
          <w:b/>
          <w:sz w:val="26"/>
          <w:szCs w:val="26"/>
        </w:rPr>
        <w:t xml:space="preserve"> to summer </w:t>
      </w:r>
      <w:r w:rsidR="003D3AD7">
        <w:rPr>
          <w:rFonts w:cstheme="minorHAnsi"/>
          <w:b/>
          <w:sz w:val="26"/>
          <w:szCs w:val="26"/>
        </w:rPr>
        <w:t xml:space="preserve">nature </w:t>
      </w:r>
      <w:r>
        <w:rPr>
          <w:rFonts w:cstheme="minorHAnsi"/>
          <w:b/>
          <w:sz w:val="26"/>
          <w:szCs w:val="26"/>
        </w:rPr>
        <w:t xml:space="preserve">destinations like the lakes and parks.  </w:t>
      </w:r>
    </w:p>
    <w:p w14:paraId="625B685B" w14:textId="6422D55C" w:rsidR="00F56B35" w:rsidRDefault="00EF27C6" w:rsidP="00EF27C6">
      <w:pPr>
        <w:jc w:val="both"/>
        <w:rPr>
          <w:rFonts w:cstheme="minorHAnsi"/>
          <w:bCs/>
          <w:sz w:val="26"/>
          <w:szCs w:val="26"/>
        </w:rPr>
      </w:pPr>
      <w:r w:rsidRPr="004803A4">
        <w:rPr>
          <w:rFonts w:cstheme="minorHAnsi"/>
          <w:b/>
          <w:sz w:val="26"/>
          <w:szCs w:val="26"/>
        </w:rPr>
        <w:t xml:space="preserve">Answer:  </w:t>
      </w:r>
      <w:r w:rsidR="00C609E5" w:rsidRPr="00C609E5">
        <w:rPr>
          <w:rFonts w:cstheme="minorHAnsi"/>
          <w:bCs/>
          <w:sz w:val="26"/>
          <w:szCs w:val="26"/>
        </w:rPr>
        <w:t>The</w:t>
      </w:r>
      <w:r w:rsidR="00F56B35">
        <w:rPr>
          <w:rFonts w:cstheme="minorHAnsi"/>
          <w:bCs/>
          <w:sz w:val="26"/>
          <w:szCs w:val="26"/>
        </w:rPr>
        <w:t xml:space="preserve"> </w:t>
      </w:r>
      <w:r w:rsidR="003D3AD7">
        <w:rPr>
          <w:rFonts w:cstheme="minorHAnsi"/>
          <w:bCs/>
          <w:sz w:val="26"/>
          <w:szCs w:val="26"/>
        </w:rPr>
        <w:t>A</w:t>
      </w:r>
      <w:r w:rsidR="00F56B35">
        <w:rPr>
          <w:rFonts w:cstheme="minorHAnsi"/>
          <w:bCs/>
          <w:sz w:val="26"/>
          <w:szCs w:val="26"/>
        </w:rPr>
        <w:t xml:space="preserve">gency must notify your employee organization of the new policy and allow for a reasonable opportunity to negotiate over it before implementing.  You do have valid concerns, and the best place to address those is to have your employee organization negotiate changes to the new </w:t>
      </w:r>
      <w:r w:rsidR="00B01381">
        <w:rPr>
          <w:rFonts w:cstheme="minorHAnsi"/>
          <w:bCs/>
          <w:sz w:val="26"/>
          <w:szCs w:val="26"/>
        </w:rPr>
        <w:t>“</w:t>
      </w:r>
      <w:r w:rsidR="00F56B35">
        <w:rPr>
          <w:rFonts w:cstheme="minorHAnsi"/>
          <w:bCs/>
          <w:sz w:val="26"/>
          <w:szCs w:val="26"/>
        </w:rPr>
        <w:t>draft</w:t>
      </w:r>
      <w:r w:rsidR="00B01381">
        <w:rPr>
          <w:rFonts w:cstheme="minorHAnsi"/>
          <w:bCs/>
          <w:sz w:val="26"/>
          <w:szCs w:val="26"/>
        </w:rPr>
        <w:t>”</w:t>
      </w:r>
      <w:r w:rsidR="00F56B35">
        <w:rPr>
          <w:rFonts w:cstheme="minorHAnsi"/>
          <w:bCs/>
          <w:sz w:val="26"/>
          <w:szCs w:val="26"/>
        </w:rPr>
        <w:t xml:space="preserve"> </w:t>
      </w:r>
      <w:r w:rsidR="00B96507">
        <w:rPr>
          <w:rFonts w:cstheme="minorHAnsi"/>
          <w:bCs/>
          <w:sz w:val="26"/>
          <w:szCs w:val="26"/>
        </w:rPr>
        <w:t>policy</w:t>
      </w:r>
      <w:r w:rsidR="00F56B35">
        <w:rPr>
          <w:rFonts w:cstheme="minorHAnsi"/>
          <w:bCs/>
          <w:sz w:val="26"/>
          <w:szCs w:val="26"/>
        </w:rPr>
        <w:t xml:space="preserve">.  </w:t>
      </w:r>
    </w:p>
    <w:p w14:paraId="3408AFCC" w14:textId="5C2E10EE" w:rsidR="00F56B35" w:rsidRDefault="00F56B35" w:rsidP="00EF27C6">
      <w:pPr>
        <w:jc w:val="both"/>
        <w:rPr>
          <w:rFonts w:cstheme="minorHAnsi"/>
          <w:bCs/>
          <w:sz w:val="26"/>
          <w:szCs w:val="26"/>
        </w:rPr>
      </w:pPr>
      <w:r>
        <w:rPr>
          <w:rFonts w:cstheme="minorHAnsi"/>
          <w:bCs/>
          <w:sz w:val="26"/>
          <w:szCs w:val="26"/>
        </w:rPr>
        <w:t>The agency does have</w:t>
      </w:r>
      <w:r w:rsidR="00C609E5" w:rsidRPr="00C609E5">
        <w:rPr>
          <w:rFonts w:cstheme="minorHAnsi"/>
          <w:bCs/>
          <w:sz w:val="26"/>
          <w:szCs w:val="26"/>
        </w:rPr>
        <w:t xml:space="preserve"> an obligation to protect the health and safety of all employees.  </w:t>
      </w:r>
      <w:r>
        <w:rPr>
          <w:rFonts w:cstheme="minorHAnsi"/>
          <w:bCs/>
          <w:sz w:val="26"/>
          <w:szCs w:val="26"/>
        </w:rPr>
        <w:t xml:space="preserve">At the outset of the pandemic, public health officials included travel restrictions and self-quarantine to prevent communities from an outbreak of the virus.  So, it is understandable why your Agency may want to include this type of restriction.  </w:t>
      </w:r>
      <w:r w:rsidR="00ED79D1">
        <w:rPr>
          <w:rFonts w:cstheme="minorHAnsi"/>
          <w:bCs/>
          <w:sz w:val="26"/>
          <w:szCs w:val="26"/>
        </w:rPr>
        <w:t>Y</w:t>
      </w:r>
      <w:r>
        <w:rPr>
          <w:rFonts w:cstheme="minorHAnsi"/>
          <w:bCs/>
          <w:sz w:val="26"/>
          <w:szCs w:val="26"/>
        </w:rPr>
        <w:t>ou raise a good point that the language may be too broad and restrictive</w:t>
      </w:r>
      <w:r w:rsidR="001A7DEB">
        <w:rPr>
          <w:rFonts w:cstheme="minorHAnsi"/>
          <w:bCs/>
          <w:sz w:val="26"/>
          <w:szCs w:val="26"/>
        </w:rPr>
        <w:t xml:space="preserve"> at this stage of the pandemic</w:t>
      </w:r>
      <w:r>
        <w:rPr>
          <w:rFonts w:cstheme="minorHAnsi"/>
          <w:bCs/>
          <w:sz w:val="26"/>
          <w:szCs w:val="26"/>
        </w:rPr>
        <w:t xml:space="preserve">, and </w:t>
      </w:r>
      <w:r w:rsidR="001A7DEB">
        <w:rPr>
          <w:rFonts w:cstheme="minorHAnsi"/>
          <w:bCs/>
          <w:sz w:val="26"/>
          <w:szCs w:val="26"/>
        </w:rPr>
        <w:t xml:space="preserve">regardless, </w:t>
      </w:r>
      <w:r>
        <w:rPr>
          <w:rFonts w:cstheme="minorHAnsi"/>
          <w:bCs/>
          <w:sz w:val="26"/>
          <w:szCs w:val="26"/>
        </w:rPr>
        <w:t>it does not account for other situations that are</w:t>
      </w:r>
      <w:r w:rsidR="001A7DEB">
        <w:rPr>
          <w:rFonts w:cstheme="minorHAnsi"/>
          <w:bCs/>
          <w:sz w:val="26"/>
          <w:szCs w:val="26"/>
        </w:rPr>
        <w:t xml:space="preserve"> also </w:t>
      </w:r>
      <w:r>
        <w:rPr>
          <w:rFonts w:cstheme="minorHAnsi"/>
          <w:bCs/>
          <w:sz w:val="26"/>
          <w:szCs w:val="26"/>
        </w:rPr>
        <w:t xml:space="preserve">considered high-risk beyond </w:t>
      </w:r>
      <w:r w:rsidR="001A7DEB">
        <w:rPr>
          <w:rFonts w:cstheme="minorHAnsi"/>
          <w:bCs/>
          <w:sz w:val="26"/>
          <w:szCs w:val="26"/>
        </w:rPr>
        <w:t xml:space="preserve">just </w:t>
      </w:r>
      <w:r>
        <w:rPr>
          <w:rFonts w:cstheme="minorHAnsi"/>
          <w:bCs/>
          <w:sz w:val="26"/>
          <w:szCs w:val="26"/>
        </w:rPr>
        <w:t xml:space="preserve">travel.  </w:t>
      </w:r>
    </w:p>
    <w:p w14:paraId="78D69532" w14:textId="2ED63968" w:rsidR="00B01381" w:rsidRDefault="00F56B35" w:rsidP="00EF27C6">
      <w:pPr>
        <w:jc w:val="both"/>
        <w:rPr>
          <w:rFonts w:cstheme="minorHAnsi"/>
          <w:bCs/>
          <w:sz w:val="26"/>
          <w:szCs w:val="26"/>
        </w:rPr>
      </w:pPr>
      <w:r>
        <w:rPr>
          <w:rFonts w:cstheme="minorHAnsi"/>
          <w:bCs/>
          <w:sz w:val="26"/>
          <w:szCs w:val="26"/>
        </w:rPr>
        <w:t xml:space="preserve">You </w:t>
      </w:r>
      <w:r w:rsidR="002F3F27">
        <w:rPr>
          <w:rFonts w:cstheme="minorHAnsi"/>
          <w:bCs/>
          <w:sz w:val="26"/>
          <w:szCs w:val="26"/>
        </w:rPr>
        <w:t xml:space="preserve">could propose </w:t>
      </w:r>
      <w:r w:rsidR="00B01381">
        <w:rPr>
          <w:rFonts w:cstheme="minorHAnsi"/>
          <w:bCs/>
          <w:sz w:val="26"/>
          <w:szCs w:val="26"/>
        </w:rPr>
        <w:t>to delete the travel restriction language and replace it with wording</w:t>
      </w:r>
      <w:r w:rsidR="002F3F27">
        <w:rPr>
          <w:rFonts w:cstheme="minorHAnsi"/>
          <w:bCs/>
          <w:sz w:val="26"/>
          <w:szCs w:val="26"/>
        </w:rPr>
        <w:t xml:space="preserve"> that says employees shall report to the Agency if they feel they may have been exposed to COVID-19, and that this includes possible exposure that occurred outside of your regular work hours.  It may then be reasonable to self-quarantine, depending on the nature of the po</w:t>
      </w:r>
      <w:r w:rsidR="00ED79D1">
        <w:rPr>
          <w:rFonts w:cstheme="minorHAnsi"/>
          <w:bCs/>
          <w:sz w:val="26"/>
          <w:szCs w:val="26"/>
        </w:rPr>
        <w:t>tential</w:t>
      </w:r>
      <w:r w:rsidR="002F3F27">
        <w:rPr>
          <w:rFonts w:cstheme="minorHAnsi"/>
          <w:bCs/>
          <w:sz w:val="26"/>
          <w:szCs w:val="26"/>
        </w:rPr>
        <w:t xml:space="preserve"> exposure.  </w:t>
      </w:r>
    </w:p>
    <w:p w14:paraId="6BA23C7B" w14:textId="624D564E" w:rsidR="00B01381" w:rsidRPr="00B01381" w:rsidRDefault="002F3F27" w:rsidP="00EF27C6">
      <w:pPr>
        <w:jc w:val="both"/>
        <w:rPr>
          <w:rFonts w:cstheme="minorHAnsi"/>
          <w:bCs/>
          <w:sz w:val="26"/>
          <w:szCs w:val="26"/>
        </w:rPr>
      </w:pPr>
      <w:r>
        <w:rPr>
          <w:rFonts w:cstheme="minorHAnsi"/>
          <w:bCs/>
          <w:sz w:val="26"/>
          <w:szCs w:val="26"/>
        </w:rPr>
        <w:t xml:space="preserve">While you are at it, </w:t>
      </w:r>
      <w:r w:rsidR="00B01381">
        <w:rPr>
          <w:rFonts w:cstheme="minorHAnsi"/>
          <w:bCs/>
          <w:sz w:val="26"/>
          <w:szCs w:val="26"/>
        </w:rPr>
        <w:t>propose</w:t>
      </w:r>
      <w:r>
        <w:rPr>
          <w:rFonts w:cstheme="minorHAnsi"/>
          <w:bCs/>
          <w:sz w:val="26"/>
          <w:szCs w:val="26"/>
        </w:rPr>
        <w:t xml:space="preserve"> language </w:t>
      </w:r>
      <w:r w:rsidR="003D3AD7">
        <w:rPr>
          <w:rFonts w:cstheme="minorHAnsi"/>
          <w:bCs/>
          <w:sz w:val="26"/>
          <w:szCs w:val="26"/>
        </w:rPr>
        <w:t xml:space="preserve">that </w:t>
      </w:r>
      <w:r w:rsidR="00B01381">
        <w:rPr>
          <w:rFonts w:cstheme="minorHAnsi"/>
          <w:bCs/>
          <w:sz w:val="26"/>
          <w:szCs w:val="26"/>
        </w:rPr>
        <w:t xml:space="preserve">allows </w:t>
      </w:r>
      <w:r>
        <w:rPr>
          <w:rFonts w:cstheme="minorHAnsi"/>
          <w:bCs/>
          <w:sz w:val="26"/>
          <w:szCs w:val="26"/>
        </w:rPr>
        <w:t>employees who self-quarantin</w:t>
      </w:r>
      <w:r w:rsidR="00B01381">
        <w:rPr>
          <w:rFonts w:cstheme="minorHAnsi"/>
          <w:bCs/>
          <w:sz w:val="26"/>
          <w:szCs w:val="26"/>
        </w:rPr>
        <w:t>e</w:t>
      </w:r>
      <w:r>
        <w:rPr>
          <w:rFonts w:cstheme="minorHAnsi"/>
          <w:bCs/>
          <w:sz w:val="26"/>
          <w:szCs w:val="26"/>
        </w:rPr>
        <w:t xml:space="preserve"> </w:t>
      </w:r>
      <w:r w:rsidR="00B01381">
        <w:rPr>
          <w:rFonts w:cstheme="minorHAnsi"/>
          <w:bCs/>
          <w:sz w:val="26"/>
          <w:szCs w:val="26"/>
        </w:rPr>
        <w:t>to</w:t>
      </w:r>
      <w:r>
        <w:rPr>
          <w:rFonts w:cstheme="minorHAnsi"/>
          <w:bCs/>
          <w:sz w:val="26"/>
          <w:szCs w:val="26"/>
        </w:rPr>
        <w:t xml:space="preserve"> </w:t>
      </w:r>
      <w:r w:rsidR="00C609E5" w:rsidRPr="00C609E5">
        <w:rPr>
          <w:rFonts w:cstheme="minorHAnsi"/>
          <w:bCs/>
          <w:sz w:val="26"/>
          <w:szCs w:val="26"/>
        </w:rPr>
        <w:t xml:space="preserve">use the 80-hours of </w:t>
      </w:r>
      <w:r>
        <w:rPr>
          <w:rFonts w:cstheme="minorHAnsi"/>
          <w:bCs/>
          <w:sz w:val="26"/>
          <w:szCs w:val="26"/>
        </w:rPr>
        <w:t xml:space="preserve">emergency sick </w:t>
      </w:r>
      <w:r w:rsidR="00C609E5" w:rsidRPr="00C609E5">
        <w:rPr>
          <w:rFonts w:cstheme="minorHAnsi"/>
          <w:bCs/>
          <w:sz w:val="26"/>
          <w:szCs w:val="26"/>
        </w:rPr>
        <w:t>leave under the FFCRA (Families First Corona Response Act)</w:t>
      </w:r>
      <w:r w:rsidR="00B01381">
        <w:rPr>
          <w:rFonts w:cstheme="minorHAnsi"/>
          <w:bCs/>
          <w:sz w:val="26"/>
          <w:szCs w:val="26"/>
        </w:rPr>
        <w:t xml:space="preserve">.  </w:t>
      </w:r>
      <w:r>
        <w:rPr>
          <w:rFonts w:cstheme="minorHAnsi"/>
          <w:bCs/>
          <w:sz w:val="26"/>
          <w:szCs w:val="26"/>
        </w:rPr>
        <w:t xml:space="preserve"> </w:t>
      </w:r>
      <w:r w:rsidR="00B01381">
        <w:rPr>
          <w:rFonts w:cstheme="minorHAnsi"/>
          <w:bCs/>
          <w:sz w:val="26"/>
          <w:szCs w:val="26"/>
        </w:rPr>
        <w:t xml:space="preserve">You might also propose Agency-paid </w:t>
      </w:r>
      <w:r w:rsidR="00B01381">
        <w:rPr>
          <w:rFonts w:cstheme="minorHAnsi"/>
          <w:bCs/>
          <w:sz w:val="26"/>
          <w:szCs w:val="26"/>
        </w:rPr>
        <w:lastRenderedPageBreak/>
        <w:t xml:space="preserve">administrative leave or telework </w:t>
      </w:r>
      <w:r w:rsidR="003D3AD7">
        <w:rPr>
          <w:rFonts w:cstheme="minorHAnsi"/>
          <w:bCs/>
          <w:sz w:val="26"/>
          <w:szCs w:val="26"/>
        </w:rPr>
        <w:t xml:space="preserve">as an option </w:t>
      </w:r>
      <w:r>
        <w:rPr>
          <w:rFonts w:cstheme="minorHAnsi"/>
          <w:bCs/>
          <w:sz w:val="26"/>
          <w:szCs w:val="26"/>
        </w:rPr>
        <w:t xml:space="preserve">so that you do not have to exhaust </w:t>
      </w:r>
      <w:r w:rsidR="00C609E5" w:rsidRPr="00C609E5">
        <w:rPr>
          <w:rFonts w:cstheme="minorHAnsi"/>
          <w:bCs/>
          <w:sz w:val="26"/>
          <w:szCs w:val="26"/>
        </w:rPr>
        <w:t>your leave balances</w:t>
      </w:r>
      <w:r w:rsidR="00B01381">
        <w:rPr>
          <w:rFonts w:cstheme="minorHAnsi"/>
          <w:bCs/>
          <w:sz w:val="26"/>
          <w:szCs w:val="26"/>
        </w:rPr>
        <w:t xml:space="preserve"> while </w:t>
      </w:r>
      <w:r w:rsidR="00A520D6">
        <w:rPr>
          <w:rFonts w:cstheme="minorHAnsi"/>
          <w:bCs/>
          <w:sz w:val="26"/>
          <w:szCs w:val="26"/>
        </w:rPr>
        <w:t>on</w:t>
      </w:r>
      <w:r w:rsidR="00B96507">
        <w:rPr>
          <w:rFonts w:cstheme="minorHAnsi"/>
          <w:bCs/>
          <w:sz w:val="26"/>
          <w:szCs w:val="26"/>
        </w:rPr>
        <w:t xml:space="preserve"> self-</w:t>
      </w:r>
      <w:r w:rsidR="00B01381">
        <w:rPr>
          <w:rFonts w:cstheme="minorHAnsi"/>
          <w:bCs/>
          <w:sz w:val="26"/>
          <w:szCs w:val="26"/>
        </w:rPr>
        <w:t xml:space="preserve"> quarantine</w:t>
      </w:r>
      <w:r w:rsidR="00C609E5" w:rsidRPr="00C609E5">
        <w:rPr>
          <w:rFonts w:cstheme="minorHAnsi"/>
          <w:bCs/>
          <w:sz w:val="26"/>
          <w:szCs w:val="26"/>
        </w:rPr>
        <w:t>.</w:t>
      </w:r>
      <w:r w:rsidR="00B01381">
        <w:rPr>
          <w:rFonts w:cstheme="minorHAnsi"/>
          <w:bCs/>
          <w:sz w:val="26"/>
          <w:szCs w:val="26"/>
        </w:rPr>
        <w:t xml:space="preserve">  In the end, the final policy should strike a better balance between allowing employees to travel, while also protecting the rest of the workforce from possibly getting </w:t>
      </w:r>
      <w:r w:rsidR="003D3AD7">
        <w:rPr>
          <w:rFonts w:cstheme="minorHAnsi"/>
          <w:bCs/>
          <w:sz w:val="26"/>
          <w:szCs w:val="26"/>
        </w:rPr>
        <w:t>the disease</w:t>
      </w:r>
      <w:r w:rsidR="00B01381">
        <w:rPr>
          <w:rFonts w:cstheme="minorHAnsi"/>
          <w:bCs/>
          <w:sz w:val="26"/>
          <w:szCs w:val="26"/>
        </w:rPr>
        <w:t>.</w:t>
      </w:r>
    </w:p>
    <w:p w14:paraId="2FC3282C" w14:textId="11342774" w:rsidR="00EF27C6" w:rsidRPr="004803A4" w:rsidRDefault="00EF27C6" w:rsidP="00EF27C6">
      <w:pPr>
        <w:jc w:val="both"/>
        <w:rPr>
          <w:rFonts w:cstheme="minorHAnsi"/>
          <w:b/>
          <w:sz w:val="26"/>
          <w:szCs w:val="26"/>
        </w:rPr>
      </w:pPr>
      <w:r w:rsidRPr="004803A4">
        <w:rPr>
          <w:rFonts w:cstheme="minorHAnsi"/>
          <w:b/>
          <w:sz w:val="26"/>
          <w:szCs w:val="26"/>
        </w:rPr>
        <w:t xml:space="preserve">Question:  </w:t>
      </w:r>
      <w:r>
        <w:rPr>
          <w:rFonts w:cstheme="minorHAnsi"/>
          <w:b/>
          <w:sz w:val="26"/>
          <w:szCs w:val="26"/>
        </w:rPr>
        <w:t>I</w:t>
      </w:r>
      <w:r w:rsidR="006D0591">
        <w:rPr>
          <w:rFonts w:cstheme="minorHAnsi"/>
          <w:b/>
          <w:sz w:val="26"/>
          <w:szCs w:val="26"/>
        </w:rPr>
        <w:t xml:space="preserve"> am</w:t>
      </w:r>
      <w:r>
        <w:rPr>
          <w:rFonts w:cstheme="minorHAnsi"/>
          <w:b/>
          <w:sz w:val="26"/>
          <w:szCs w:val="26"/>
        </w:rPr>
        <w:t xml:space="preserve"> an FLSA-Exempt employee (professional classification).  Our Association recently agreed to a 10% furlough</w:t>
      </w:r>
      <w:r w:rsidR="006D0591">
        <w:rPr>
          <w:rFonts w:cstheme="minorHAnsi"/>
          <w:b/>
          <w:sz w:val="26"/>
          <w:szCs w:val="26"/>
        </w:rPr>
        <w:t xml:space="preserve"> – </w:t>
      </w:r>
      <w:r>
        <w:rPr>
          <w:rFonts w:cstheme="minorHAnsi"/>
          <w:b/>
          <w:sz w:val="26"/>
          <w:szCs w:val="26"/>
        </w:rPr>
        <w:t xml:space="preserve">8 hours unpaid and 72 hours </w:t>
      </w:r>
      <w:r w:rsidR="006D0591">
        <w:rPr>
          <w:rFonts w:cstheme="minorHAnsi"/>
          <w:b/>
          <w:sz w:val="26"/>
          <w:szCs w:val="26"/>
        </w:rPr>
        <w:t xml:space="preserve">paid </w:t>
      </w:r>
      <w:r>
        <w:rPr>
          <w:rFonts w:cstheme="minorHAnsi"/>
          <w:b/>
          <w:sz w:val="26"/>
          <w:szCs w:val="26"/>
        </w:rPr>
        <w:t xml:space="preserve">each 80-hour pay period.  </w:t>
      </w:r>
      <w:r w:rsidR="006D0591">
        <w:rPr>
          <w:rFonts w:cstheme="minorHAnsi"/>
          <w:b/>
          <w:sz w:val="26"/>
          <w:szCs w:val="26"/>
        </w:rPr>
        <w:t>W</w:t>
      </w:r>
      <w:r>
        <w:rPr>
          <w:rFonts w:cstheme="minorHAnsi"/>
          <w:b/>
          <w:sz w:val="26"/>
          <w:szCs w:val="26"/>
        </w:rPr>
        <w:t xml:space="preserve">hat if I work over 72 hours in a pay period?  Normally, I put in as many hours as needed to complete my projects, often closer to 50 hours per week.  Now that I am only being paid for 36 hours per week, is it reasonable to </w:t>
      </w:r>
      <w:r w:rsidR="006D0591">
        <w:rPr>
          <w:rFonts w:cstheme="minorHAnsi"/>
          <w:b/>
          <w:sz w:val="26"/>
          <w:szCs w:val="26"/>
        </w:rPr>
        <w:t>say</w:t>
      </w:r>
      <w:r>
        <w:rPr>
          <w:rFonts w:cstheme="minorHAnsi"/>
          <w:b/>
          <w:sz w:val="26"/>
          <w:szCs w:val="26"/>
        </w:rPr>
        <w:t xml:space="preserve"> I will only work the agreed-upon number of hours?  If I do work more, </w:t>
      </w:r>
      <w:r w:rsidR="006D0591">
        <w:rPr>
          <w:rFonts w:cstheme="minorHAnsi"/>
          <w:b/>
          <w:sz w:val="26"/>
          <w:szCs w:val="26"/>
        </w:rPr>
        <w:t xml:space="preserve">must they </w:t>
      </w:r>
      <w:r>
        <w:rPr>
          <w:rFonts w:cstheme="minorHAnsi"/>
          <w:b/>
          <w:sz w:val="26"/>
          <w:szCs w:val="26"/>
        </w:rPr>
        <w:t xml:space="preserve">pay me?  And since I normally receive a salary, and not an hourly rate, </w:t>
      </w:r>
      <w:r w:rsidR="006D0591">
        <w:rPr>
          <w:rFonts w:cstheme="minorHAnsi"/>
          <w:b/>
          <w:sz w:val="26"/>
          <w:szCs w:val="26"/>
        </w:rPr>
        <w:t xml:space="preserve">what </w:t>
      </w:r>
      <w:r>
        <w:rPr>
          <w:rFonts w:cstheme="minorHAnsi"/>
          <w:b/>
          <w:sz w:val="26"/>
          <w:szCs w:val="26"/>
        </w:rPr>
        <w:t xml:space="preserve">do I </w:t>
      </w:r>
      <w:r w:rsidR="006D0591">
        <w:rPr>
          <w:rFonts w:cstheme="minorHAnsi"/>
          <w:b/>
          <w:sz w:val="26"/>
          <w:szCs w:val="26"/>
        </w:rPr>
        <w:t>get</w:t>
      </w:r>
      <w:r>
        <w:rPr>
          <w:rFonts w:cstheme="minorHAnsi"/>
          <w:b/>
          <w:sz w:val="26"/>
          <w:szCs w:val="26"/>
        </w:rPr>
        <w:t xml:space="preserve"> per hour over the furlough amount?  Do I just work less hours the following week?  I am not trying to be difficult; I just want what is fair.</w:t>
      </w:r>
    </w:p>
    <w:p w14:paraId="5AE934A3" w14:textId="20C7EA1E" w:rsidR="00CD21F8" w:rsidRDefault="00EF27C6" w:rsidP="00EF27C6">
      <w:pPr>
        <w:jc w:val="both"/>
        <w:rPr>
          <w:rFonts w:cstheme="minorHAnsi"/>
          <w:bCs/>
          <w:sz w:val="26"/>
          <w:szCs w:val="26"/>
        </w:rPr>
      </w:pPr>
      <w:r w:rsidRPr="004803A4">
        <w:rPr>
          <w:rFonts w:cstheme="minorHAnsi"/>
          <w:b/>
          <w:sz w:val="26"/>
          <w:szCs w:val="26"/>
        </w:rPr>
        <w:t xml:space="preserve">Answer:  </w:t>
      </w:r>
      <w:proofErr w:type="gramStart"/>
      <w:r w:rsidR="00CD21F8" w:rsidRPr="00CD21F8">
        <w:rPr>
          <w:rFonts w:cstheme="minorHAnsi"/>
          <w:bCs/>
          <w:sz w:val="26"/>
          <w:szCs w:val="26"/>
        </w:rPr>
        <w:t>Let’s</w:t>
      </w:r>
      <w:proofErr w:type="gramEnd"/>
      <w:r w:rsidR="00CD21F8" w:rsidRPr="00CD21F8">
        <w:rPr>
          <w:rFonts w:cstheme="minorHAnsi"/>
          <w:bCs/>
          <w:sz w:val="26"/>
          <w:szCs w:val="26"/>
        </w:rPr>
        <w:t xml:space="preserve"> take each of those questions in turn.</w:t>
      </w:r>
      <w:r w:rsidR="00CD21F8">
        <w:rPr>
          <w:rFonts w:cstheme="minorHAnsi"/>
          <w:b/>
          <w:sz w:val="26"/>
          <w:szCs w:val="26"/>
        </w:rPr>
        <w:t xml:space="preserve">  </w:t>
      </w:r>
      <w:r w:rsidR="00CD21F8">
        <w:rPr>
          <w:rFonts w:cstheme="minorHAnsi"/>
          <w:bCs/>
          <w:sz w:val="26"/>
          <w:szCs w:val="26"/>
        </w:rPr>
        <w:t>First, you should follow management’s directive if they assign you to work overtime.  The Agency can ask you to work overtime, even if you are on furlough.  If you refuse, you could be disciplined for insubordination.</w:t>
      </w:r>
      <w:r w:rsidR="00467D8C">
        <w:rPr>
          <w:rFonts w:cstheme="minorHAnsi"/>
          <w:bCs/>
          <w:sz w:val="26"/>
          <w:szCs w:val="26"/>
        </w:rPr>
        <w:t xml:space="preserve">  But that </w:t>
      </w:r>
      <w:r w:rsidR="00FE4927">
        <w:rPr>
          <w:rFonts w:cstheme="minorHAnsi"/>
          <w:bCs/>
          <w:sz w:val="26"/>
          <w:szCs w:val="26"/>
        </w:rPr>
        <w:t>does not</w:t>
      </w:r>
      <w:r w:rsidR="00467D8C">
        <w:rPr>
          <w:rFonts w:cstheme="minorHAnsi"/>
          <w:bCs/>
          <w:sz w:val="26"/>
          <w:szCs w:val="26"/>
        </w:rPr>
        <w:t xml:space="preserve"> mean you should “volunteer” hours beyond the 72 hours </w:t>
      </w:r>
      <w:r w:rsidR="00467D8C">
        <w:rPr>
          <w:rFonts w:cstheme="minorHAnsi"/>
          <w:bCs/>
          <w:sz w:val="26"/>
          <w:szCs w:val="26"/>
        </w:rPr>
        <w:t>unless instructed to do so.  In general, you should work the hours as scheduled.</w:t>
      </w:r>
    </w:p>
    <w:p w14:paraId="1EAB7711" w14:textId="123EAF17" w:rsidR="00CD21F8" w:rsidRDefault="00CD21F8" w:rsidP="00EF27C6">
      <w:pPr>
        <w:jc w:val="both"/>
        <w:rPr>
          <w:rFonts w:cstheme="minorHAnsi"/>
          <w:bCs/>
          <w:sz w:val="26"/>
          <w:szCs w:val="26"/>
        </w:rPr>
      </w:pPr>
      <w:r>
        <w:rPr>
          <w:rFonts w:cstheme="minorHAnsi"/>
          <w:bCs/>
          <w:sz w:val="26"/>
          <w:szCs w:val="26"/>
        </w:rPr>
        <w:t xml:space="preserve">Second, yes, they must pay you for all hours worked.  But this will depend on how the Agency has defined the FLSA workweek.  If the furlough is set up as 4 hours each </w:t>
      </w:r>
      <w:r w:rsidR="00C4070D">
        <w:rPr>
          <w:rFonts w:cstheme="minorHAnsi"/>
          <w:bCs/>
          <w:sz w:val="26"/>
          <w:szCs w:val="26"/>
        </w:rPr>
        <w:t>work</w:t>
      </w:r>
      <w:r>
        <w:rPr>
          <w:rFonts w:cstheme="minorHAnsi"/>
          <w:bCs/>
          <w:sz w:val="26"/>
          <w:szCs w:val="26"/>
        </w:rPr>
        <w:t xml:space="preserve">week, you are considered an hourly employee for the entire duration of the furlough.  If you are furloughed only every other workweek, then you are only entitled to more pay if you work extra hours during the FLSA workweek </w:t>
      </w:r>
      <w:r w:rsidR="00C4070D">
        <w:rPr>
          <w:rFonts w:cstheme="minorHAnsi"/>
          <w:bCs/>
          <w:sz w:val="26"/>
          <w:szCs w:val="26"/>
        </w:rPr>
        <w:t xml:space="preserve">for which </w:t>
      </w:r>
      <w:r>
        <w:rPr>
          <w:rFonts w:cstheme="minorHAnsi"/>
          <w:bCs/>
          <w:sz w:val="26"/>
          <w:szCs w:val="26"/>
        </w:rPr>
        <w:t>you are on furlough.</w:t>
      </w:r>
    </w:p>
    <w:p w14:paraId="7E6C9409" w14:textId="2552CBD6" w:rsidR="00CD21F8" w:rsidRDefault="00CD21F8" w:rsidP="00EF27C6">
      <w:pPr>
        <w:jc w:val="both"/>
        <w:rPr>
          <w:rFonts w:cstheme="minorHAnsi"/>
          <w:bCs/>
          <w:sz w:val="26"/>
          <w:szCs w:val="26"/>
        </w:rPr>
      </w:pPr>
      <w:r>
        <w:rPr>
          <w:rFonts w:cstheme="minorHAnsi"/>
          <w:bCs/>
          <w:sz w:val="26"/>
          <w:szCs w:val="26"/>
        </w:rPr>
        <w:t>Your annual salary is typically divided by 2</w:t>
      </w:r>
      <w:r w:rsidR="00C4070D">
        <w:rPr>
          <w:rFonts w:cstheme="minorHAnsi"/>
          <w:bCs/>
          <w:sz w:val="26"/>
          <w:szCs w:val="26"/>
        </w:rPr>
        <w:t>,</w:t>
      </w:r>
      <w:r>
        <w:rPr>
          <w:rFonts w:cstheme="minorHAnsi"/>
          <w:bCs/>
          <w:sz w:val="26"/>
          <w:szCs w:val="26"/>
        </w:rPr>
        <w:t xml:space="preserve">080 hours to come up with an hourly rate.  This is how much </w:t>
      </w:r>
      <w:r w:rsidR="00467D8C">
        <w:rPr>
          <w:rFonts w:cstheme="minorHAnsi"/>
          <w:bCs/>
          <w:sz w:val="26"/>
          <w:szCs w:val="26"/>
        </w:rPr>
        <w:t>you</w:t>
      </w:r>
      <w:r>
        <w:rPr>
          <w:rFonts w:cstheme="minorHAnsi"/>
          <w:bCs/>
          <w:sz w:val="26"/>
          <w:szCs w:val="26"/>
        </w:rPr>
        <w:t xml:space="preserve"> should be p</w:t>
      </w:r>
      <w:r w:rsidR="00467D8C">
        <w:rPr>
          <w:rFonts w:cstheme="minorHAnsi"/>
          <w:bCs/>
          <w:sz w:val="26"/>
          <w:szCs w:val="26"/>
        </w:rPr>
        <w:t>aid</w:t>
      </w:r>
      <w:r>
        <w:rPr>
          <w:rFonts w:cstheme="minorHAnsi"/>
          <w:bCs/>
          <w:sz w:val="26"/>
          <w:szCs w:val="26"/>
        </w:rPr>
        <w:t xml:space="preserve"> for each hour worked </w:t>
      </w:r>
      <w:r w:rsidR="00467D8C">
        <w:rPr>
          <w:rFonts w:cstheme="minorHAnsi"/>
          <w:bCs/>
          <w:sz w:val="26"/>
          <w:szCs w:val="26"/>
        </w:rPr>
        <w:t xml:space="preserve">on </w:t>
      </w:r>
      <w:r>
        <w:rPr>
          <w:rFonts w:cstheme="minorHAnsi"/>
          <w:bCs/>
          <w:sz w:val="26"/>
          <w:szCs w:val="26"/>
        </w:rPr>
        <w:t xml:space="preserve">furlough.  Hours worked up to 40 hours is paid at straight time and hours worked over 40 is paid at time-and-one-half pay.  But this is only during the FLSA workweek in which you are </w:t>
      </w:r>
      <w:r w:rsidR="00467D8C">
        <w:rPr>
          <w:rFonts w:cstheme="minorHAnsi"/>
          <w:bCs/>
          <w:sz w:val="26"/>
          <w:szCs w:val="26"/>
        </w:rPr>
        <w:t xml:space="preserve">on </w:t>
      </w:r>
      <w:r>
        <w:rPr>
          <w:rFonts w:cstheme="minorHAnsi"/>
          <w:bCs/>
          <w:sz w:val="26"/>
          <w:szCs w:val="26"/>
        </w:rPr>
        <w:t>furlough.  If it alternates every other week, you will receive your regular weekly salary during the non-furlough week</w:t>
      </w:r>
      <w:r w:rsidR="00C4070D">
        <w:rPr>
          <w:rFonts w:cstheme="minorHAnsi"/>
          <w:bCs/>
          <w:sz w:val="26"/>
          <w:szCs w:val="26"/>
        </w:rPr>
        <w:t xml:space="preserve"> (regardless of hours worked) and hourly pay (including overtime, if applicable) for hours worked </w:t>
      </w:r>
      <w:r w:rsidR="00467D8C">
        <w:rPr>
          <w:rFonts w:cstheme="minorHAnsi"/>
          <w:bCs/>
          <w:sz w:val="26"/>
          <w:szCs w:val="26"/>
        </w:rPr>
        <w:t>on</w:t>
      </w:r>
      <w:r w:rsidR="00C4070D">
        <w:rPr>
          <w:rFonts w:cstheme="minorHAnsi"/>
          <w:bCs/>
          <w:sz w:val="26"/>
          <w:szCs w:val="26"/>
        </w:rPr>
        <w:t xml:space="preserve"> the furlough week</w:t>
      </w:r>
      <w:r>
        <w:rPr>
          <w:rFonts w:cstheme="minorHAnsi"/>
          <w:bCs/>
          <w:sz w:val="26"/>
          <w:szCs w:val="26"/>
        </w:rPr>
        <w:t>.</w:t>
      </w:r>
    </w:p>
    <w:p w14:paraId="3E85FF31" w14:textId="1255D191" w:rsidR="00EF27C6" w:rsidRPr="00C609E5" w:rsidRDefault="00ED79D1" w:rsidP="00EF27C6">
      <w:pPr>
        <w:jc w:val="both"/>
        <w:rPr>
          <w:rFonts w:cstheme="minorHAnsi"/>
          <w:bCs/>
          <w:sz w:val="26"/>
          <w:szCs w:val="26"/>
        </w:rPr>
      </w:pPr>
      <w:r>
        <w:rPr>
          <w:rFonts w:cstheme="minorHAnsi"/>
          <w:bCs/>
          <w:sz w:val="26"/>
          <w:szCs w:val="26"/>
        </w:rPr>
        <w:t xml:space="preserve">Lastly, </w:t>
      </w:r>
      <w:r w:rsidR="00CD21F8">
        <w:rPr>
          <w:rFonts w:cstheme="minorHAnsi"/>
          <w:bCs/>
          <w:sz w:val="26"/>
          <w:szCs w:val="26"/>
        </w:rPr>
        <w:t xml:space="preserve">no, you do not just work less hours the following week – unless </w:t>
      </w:r>
      <w:r w:rsidR="00C4070D">
        <w:rPr>
          <w:rFonts w:cstheme="minorHAnsi"/>
          <w:bCs/>
          <w:sz w:val="26"/>
          <w:szCs w:val="26"/>
        </w:rPr>
        <w:t>that is</w:t>
      </w:r>
      <w:r w:rsidR="00CD21F8">
        <w:rPr>
          <w:rFonts w:cstheme="minorHAnsi"/>
          <w:bCs/>
          <w:sz w:val="26"/>
          <w:szCs w:val="26"/>
        </w:rPr>
        <w:t xml:space="preserve"> what your specific furlough policy says.  Some agencies have “flex-time” programs for exempt employees that allow them to </w:t>
      </w:r>
      <w:r w:rsidR="00C4070D">
        <w:rPr>
          <w:rFonts w:cstheme="minorHAnsi"/>
          <w:bCs/>
          <w:sz w:val="26"/>
          <w:szCs w:val="26"/>
        </w:rPr>
        <w:t>adjust their schedule based on having worked extra hours</w:t>
      </w:r>
      <w:r w:rsidR="00467D8C">
        <w:rPr>
          <w:rFonts w:cstheme="minorHAnsi"/>
          <w:bCs/>
          <w:sz w:val="26"/>
          <w:szCs w:val="26"/>
        </w:rPr>
        <w:t xml:space="preserve">, </w:t>
      </w:r>
      <w:r w:rsidR="00CF070D">
        <w:rPr>
          <w:rFonts w:cstheme="minorHAnsi"/>
          <w:bCs/>
          <w:sz w:val="26"/>
          <w:szCs w:val="26"/>
        </w:rPr>
        <w:t xml:space="preserve">to </w:t>
      </w:r>
      <w:r w:rsidR="00467D8C">
        <w:rPr>
          <w:rFonts w:cstheme="minorHAnsi"/>
          <w:bCs/>
          <w:sz w:val="26"/>
          <w:szCs w:val="26"/>
        </w:rPr>
        <w:t>recogni</w:t>
      </w:r>
      <w:r w:rsidR="00CF070D">
        <w:rPr>
          <w:rFonts w:cstheme="minorHAnsi"/>
          <w:bCs/>
          <w:sz w:val="26"/>
          <w:szCs w:val="26"/>
        </w:rPr>
        <w:t>ze</w:t>
      </w:r>
      <w:r w:rsidR="00467D8C">
        <w:rPr>
          <w:rFonts w:cstheme="minorHAnsi"/>
          <w:bCs/>
          <w:sz w:val="26"/>
          <w:szCs w:val="26"/>
        </w:rPr>
        <w:t xml:space="preserve"> the</w:t>
      </w:r>
      <w:r w:rsidR="00CF070D">
        <w:rPr>
          <w:rFonts w:cstheme="minorHAnsi"/>
          <w:bCs/>
          <w:sz w:val="26"/>
          <w:szCs w:val="26"/>
        </w:rPr>
        <w:t xml:space="preserve">ir </w:t>
      </w:r>
      <w:r w:rsidR="00CF070D">
        <w:rPr>
          <w:rFonts w:cstheme="minorHAnsi"/>
          <w:bCs/>
          <w:sz w:val="26"/>
          <w:szCs w:val="26"/>
        </w:rPr>
        <w:lastRenderedPageBreak/>
        <w:t>efforts</w:t>
      </w:r>
      <w:r w:rsidR="00C609E5" w:rsidRPr="00C609E5">
        <w:rPr>
          <w:rFonts w:cstheme="minorHAnsi"/>
          <w:bCs/>
          <w:sz w:val="26"/>
          <w:szCs w:val="26"/>
        </w:rPr>
        <w:t>.</w:t>
      </w:r>
      <w:r w:rsidR="00C4070D">
        <w:rPr>
          <w:rFonts w:cstheme="minorHAnsi"/>
          <w:bCs/>
          <w:sz w:val="26"/>
          <w:szCs w:val="26"/>
        </w:rPr>
        <w:t xml:space="preserve">  But </w:t>
      </w:r>
      <w:r w:rsidR="00CF070D">
        <w:rPr>
          <w:rFonts w:cstheme="minorHAnsi"/>
          <w:bCs/>
          <w:sz w:val="26"/>
          <w:szCs w:val="26"/>
        </w:rPr>
        <w:t>the Agency should not use it</w:t>
      </w:r>
      <w:r w:rsidR="00467D8C">
        <w:rPr>
          <w:rFonts w:cstheme="minorHAnsi"/>
          <w:bCs/>
          <w:sz w:val="26"/>
          <w:szCs w:val="26"/>
        </w:rPr>
        <w:t xml:space="preserve"> </w:t>
      </w:r>
      <w:r>
        <w:rPr>
          <w:rFonts w:cstheme="minorHAnsi"/>
          <w:bCs/>
          <w:sz w:val="26"/>
          <w:szCs w:val="26"/>
        </w:rPr>
        <w:t>to</w:t>
      </w:r>
      <w:r w:rsidR="00C4070D">
        <w:rPr>
          <w:rFonts w:cstheme="minorHAnsi"/>
          <w:bCs/>
          <w:sz w:val="26"/>
          <w:szCs w:val="26"/>
        </w:rPr>
        <w:t xml:space="preserve"> avoid having to pay overtime for hours worked during the furlough week.</w:t>
      </w:r>
    </w:p>
    <w:p w14:paraId="61D0BAF1" w14:textId="6CA932DC" w:rsidR="00EF27C6" w:rsidRPr="004803A4" w:rsidRDefault="00EF27C6" w:rsidP="00EF27C6">
      <w:pPr>
        <w:jc w:val="both"/>
        <w:rPr>
          <w:rFonts w:cstheme="minorHAnsi"/>
          <w:b/>
          <w:sz w:val="26"/>
          <w:szCs w:val="26"/>
        </w:rPr>
      </w:pPr>
      <w:r w:rsidRPr="004803A4">
        <w:rPr>
          <w:rFonts w:cstheme="minorHAnsi"/>
          <w:b/>
          <w:sz w:val="26"/>
          <w:szCs w:val="26"/>
        </w:rPr>
        <w:t xml:space="preserve">Question:  </w:t>
      </w:r>
      <w:r>
        <w:rPr>
          <w:rFonts w:cstheme="minorHAnsi"/>
          <w:b/>
          <w:sz w:val="26"/>
          <w:szCs w:val="26"/>
        </w:rPr>
        <w:t xml:space="preserve">I am an emergency responder.  Since Shelter-in-Place, my colleagues and I </w:t>
      </w:r>
      <w:r w:rsidR="008A79CD">
        <w:rPr>
          <w:rFonts w:cstheme="minorHAnsi"/>
          <w:b/>
          <w:sz w:val="26"/>
          <w:szCs w:val="26"/>
        </w:rPr>
        <w:t>continue</w:t>
      </w:r>
      <w:r>
        <w:rPr>
          <w:rFonts w:cstheme="minorHAnsi"/>
          <w:b/>
          <w:sz w:val="26"/>
          <w:szCs w:val="26"/>
        </w:rPr>
        <w:t xml:space="preserve"> to work onsite while most of the Agency’s other employees </w:t>
      </w:r>
      <w:r w:rsidR="008A79CD">
        <w:rPr>
          <w:rFonts w:cstheme="minorHAnsi"/>
          <w:b/>
          <w:sz w:val="26"/>
          <w:szCs w:val="26"/>
        </w:rPr>
        <w:t>are at</w:t>
      </w:r>
      <w:r>
        <w:rPr>
          <w:rFonts w:cstheme="minorHAnsi"/>
          <w:b/>
          <w:sz w:val="26"/>
          <w:szCs w:val="26"/>
        </w:rPr>
        <w:t xml:space="preserve"> home.  The Agency has been providing </w:t>
      </w:r>
      <w:r w:rsidR="008A79CD">
        <w:rPr>
          <w:rFonts w:cstheme="minorHAnsi"/>
          <w:b/>
          <w:sz w:val="26"/>
          <w:szCs w:val="26"/>
        </w:rPr>
        <w:t xml:space="preserve">them </w:t>
      </w:r>
      <w:r>
        <w:rPr>
          <w:rFonts w:cstheme="minorHAnsi"/>
          <w:b/>
          <w:sz w:val="26"/>
          <w:szCs w:val="26"/>
        </w:rPr>
        <w:t xml:space="preserve">paid leave.  </w:t>
      </w:r>
      <w:r w:rsidR="003A593F">
        <w:rPr>
          <w:rFonts w:cstheme="minorHAnsi"/>
          <w:b/>
          <w:sz w:val="26"/>
          <w:szCs w:val="26"/>
        </w:rPr>
        <w:t xml:space="preserve">Basically, </w:t>
      </w:r>
      <w:r>
        <w:rPr>
          <w:rFonts w:cstheme="minorHAnsi"/>
          <w:b/>
          <w:sz w:val="26"/>
          <w:szCs w:val="26"/>
        </w:rPr>
        <w:t xml:space="preserve">they get full pay for not working.  But my colleagues and I must use our own time if we call out sick or want </w:t>
      </w:r>
      <w:r w:rsidR="003A593F">
        <w:rPr>
          <w:rFonts w:cstheme="minorHAnsi"/>
          <w:b/>
          <w:sz w:val="26"/>
          <w:szCs w:val="26"/>
        </w:rPr>
        <w:t>a</w:t>
      </w:r>
      <w:r>
        <w:rPr>
          <w:rFonts w:cstheme="minorHAnsi"/>
          <w:b/>
          <w:sz w:val="26"/>
          <w:szCs w:val="26"/>
        </w:rPr>
        <w:t xml:space="preserve"> day off for vacation or personal leave.  If we are “high-risk,” we can stay home but must burn our own leave.  We do not get the Agency-paid leave.  This </w:t>
      </w:r>
      <w:proofErr w:type="gramStart"/>
      <w:r>
        <w:rPr>
          <w:rFonts w:cstheme="minorHAnsi"/>
          <w:b/>
          <w:sz w:val="26"/>
          <w:szCs w:val="26"/>
        </w:rPr>
        <w:t>doesn</w:t>
      </w:r>
      <w:r w:rsidR="003A593F">
        <w:rPr>
          <w:rFonts w:cstheme="minorHAnsi"/>
          <w:b/>
          <w:sz w:val="26"/>
          <w:szCs w:val="26"/>
        </w:rPr>
        <w:t>’</w:t>
      </w:r>
      <w:r>
        <w:rPr>
          <w:rFonts w:cstheme="minorHAnsi"/>
          <w:b/>
          <w:sz w:val="26"/>
          <w:szCs w:val="26"/>
        </w:rPr>
        <w:t>t</w:t>
      </w:r>
      <w:proofErr w:type="gramEnd"/>
      <w:r>
        <w:rPr>
          <w:rFonts w:cstheme="minorHAnsi"/>
          <w:b/>
          <w:sz w:val="26"/>
          <w:szCs w:val="26"/>
        </w:rPr>
        <w:t xml:space="preserve"> seem fair.  Why should </w:t>
      </w:r>
      <w:r w:rsidR="008A79CD">
        <w:rPr>
          <w:rFonts w:cstheme="minorHAnsi"/>
          <w:b/>
          <w:sz w:val="26"/>
          <w:szCs w:val="26"/>
        </w:rPr>
        <w:t>we</w:t>
      </w:r>
      <w:r>
        <w:rPr>
          <w:rFonts w:cstheme="minorHAnsi"/>
          <w:b/>
          <w:sz w:val="26"/>
          <w:szCs w:val="26"/>
        </w:rPr>
        <w:t xml:space="preserve"> who put our lives on the line </w:t>
      </w:r>
      <w:r w:rsidR="008A79CD">
        <w:rPr>
          <w:rFonts w:cstheme="minorHAnsi"/>
          <w:b/>
          <w:sz w:val="26"/>
          <w:szCs w:val="26"/>
        </w:rPr>
        <w:t>every day</w:t>
      </w:r>
      <w:r>
        <w:rPr>
          <w:rFonts w:cstheme="minorHAnsi"/>
          <w:b/>
          <w:sz w:val="26"/>
          <w:szCs w:val="26"/>
        </w:rPr>
        <w:t xml:space="preserve"> and work in </w:t>
      </w:r>
      <w:r w:rsidR="008A79CD">
        <w:rPr>
          <w:rFonts w:cstheme="minorHAnsi"/>
          <w:b/>
          <w:sz w:val="26"/>
          <w:szCs w:val="26"/>
        </w:rPr>
        <w:t>a</w:t>
      </w:r>
      <w:r>
        <w:rPr>
          <w:rFonts w:cstheme="minorHAnsi"/>
          <w:b/>
          <w:sz w:val="26"/>
          <w:szCs w:val="26"/>
        </w:rPr>
        <w:t xml:space="preserve"> pandemic be forced to use our own </w:t>
      </w:r>
      <w:r w:rsidR="008A79CD">
        <w:rPr>
          <w:rFonts w:cstheme="minorHAnsi"/>
          <w:b/>
          <w:sz w:val="26"/>
          <w:szCs w:val="26"/>
        </w:rPr>
        <w:t>time</w:t>
      </w:r>
      <w:r>
        <w:rPr>
          <w:rFonts w:cstheme="minorHAnsi"/>
          <w:b/>
          <w:sz w:val="26"/>
          <w:szCs w:val="26"/>
        </w:rPr>
        <w:t xml:space="preserve"> for a day off or</w:t>
      </w:r>
      <w:r w:rsidR="00164874">
        <w:rPr>
          <w:rFonts w:cstheme="minorHAnsi"/>
          <w:b/>
          <w:sz w:val="26"/>
          <w:szCs w:val="26"/>
        </w:rPr>
        <w:t xml:space="preserve"> for</w:t>
      </w:r>
      <w:r>
        <w:rPr>
          <w:rFonts w:cstheme="minorHAnsi"/>
          <w:b/>
          <w:sz w:val="26"/>
          <w:szCs w:val="26"/>
        </w:rPr>
        <w:t xml:space="preserve"> our own safety </w:t>
      </w:r>
      <w:r w:rsidR="008A79CD">
        <w:rPr>
          <w:rFonts w:cstheme="minorHAnsi"/>
          <w:b/>
          <w:sz w:val="26"/>
          <w:szCs w:val="26"/>
        </w:rPr>
        <w:t>if</w:t>
      </w:r>
      <w:r>
        <w:rPr>
          <w:rFonts w:cstheme="minorHAnsi"/>
          <w:b/>
          <w:sz w:val="26"/>
          <w:szCs w:val="26"/>
        </w:rPr>
        <w:t xml:space="preserve"> the rest of the employees are safe at home and do not have to use their own time.  Is this actionable?</w:t>
      </w:r>
    </w:p>
    <w:p w14:paraId="6D396DB2" w14:textId="4E60305C" w:rsidR="00EF27C6" w:rsidRDefault="00EF27C6" w:rsidP="00EF27C6">
      <w:pPr>
        <w:jc w:val="both"/>
        <w:rPr>
          <w:rFonts w:cstheme="minorHAnsi"/>
          <w:bCs/>
          <w:sz w:val="26"/>
          <w:szCs w:val="26"/>
        </w:rPr>
      </w:pPr>
      <w:r w:rsidRPr="004803A4">
        <w:rPr>
          <w:rFonts w:cstheme="minorHAnsi"/>
          <w:b/>
          <w:sz w:val="26"/>
          <w:szCs w:val="26"/>
        </w:rPr>
        <w:t xml:space="preserve">Answer:  </w:t>
      </w:r>
      <w:r w:rsidR="0033591C">
        <w:rPr>
          <w:rFonts w:cstheme="minorHAnsi"/>
          <w:bCs/>
          <w:sz w:val="26"/>
          <w:szCs w:val="26"/>
        </w:rPr>
        <w:t xml:space="preserve">You make a good point.  It certainly </w:t>
      </w:r>
      <w:proofErr w:type="gramStart"/>
      <w:r w:rsidR="00433758">
        <w:rPr>
          <w:rFonts w:cstheme="minorHAnsi"/>
          <w:bCs/>
          <w:sz w:val="26"/>
          <w:szCs w:val="26"/>
        </w:rPr>
        <w:t>doesn</w:t>
      </w:r>
      <w:r w:rsidR="00E201E4">
        <w:rPr>
          <w:rFonts w:cstheme="minorHAnsi"/>
          <w:bCs/>
          <w:sz w:val="26"/>
          <w:szCs w:val="26"/>
        </w:rPr>
        <w:t>’</w:t>
      </w:r>
      <w:r w:rsidR="00433758">
        <w:rPr>
          <w:rFonts w:cstheme="minorHAnsi"/>
          <w:bCs/>
          <w:sz w:val="26"/>
          <w:szCs w:val="26"/>
        </w:rPr>
        <w:t>t</w:t>
      </w:r>
      <w:proofErr w:type="gramEnd"/>
      <w:r w:rsidR="0033591C">
        <w:rPr>
          <w:rFonts w:cstheme="minorHAnsi"/>
          <w:bCs/>
          <w:sz w:val="26"/>
          <w:szCs w:val="26"/>
        </w:rPr>
        <w:t xml:space="preserve"> seem fair.  But know that the non-essential employees who were sent home lost the opportunity to come to work through no fault of their own.  Your Agency told them </w:t>
      </w:r>
      <w:r w:rsidR="0033591C" w:rsidRPr="0033591C">
        <w:rPr>
          <w:rFonts w:cstheme="minorHAnsi"/>
          <w:bCs/>
          <w:i/>
          <w:iCs/>
          <w:sz w:val="26"/>
          <w:szCs w:val="26"/>
        </w:rPr>
        <w:t>not</w:t>
      </w:r>
      <w:r w:rsidR="0033591C">
        <w:rPr>
          <w:rFonts w:cstheme="minorHAnsi"/>
          <w:bCs/>
          <w:sz w:val="26"/>
          <w:szCs w:val="26"/>
        </w:rPr>
        <w:t xml:space="preserve"> to come to work, even though many of them were ready, willing, and able to do so.  </w:t>
      </w:r>
      <w:r w:rsidR="0036610B">
        <w:rPr>
          <w:rFonts w:cstheme="minorHAnsi"/>
          <w:bCs/>
          <w:sz w:val="26"/>
          <w:szCs w:val="26"/>
        </w:rPr>
        <w:t xml:space="preserve">They probably think </w:t>
      </w:r>
      <w:r w:rsidR="0033591C">
        <w:rPr>
          <w:rFonts w:cstheme="minorHAnsi"/>
          <w:bCs/>
          <w:sz w:val="26"/>
          <w:szCs w:val="26"/>
        </w:rPr>
        <w:t xml:space="preserve">they </w:t>
      </w:r>
      <w:proofErr w:type="gramStart"/>
      <w:r w:rsidR="0033591C">
        <w:rPr>
          <w:rFonts w:cstheme="minorHAnsi"/>
          <w:bCs/>
          <w:sz w:val="26"/>
          <w:szCs w:val="26"/>
        </w:rPr>
        <w:t>shouldn</w:t>
      </w:r>
      <w:r w:rsidR="00E201E4">
        <w:rPr>
          <w:rFonts w:cstheme="minorHAnsi"/>
          <w:bCs/>
          <w:sz w:val="26"/>
          <w:szCs w:val="26"/>
        </w:rPr>
        <w:t>’</w:t>
      </w:r>
      <w:r w:rsidR="0033591C">
        <w:rPr>
          <w:rFonts w:cstheme="minorHAnsi"/>
          <w:bCs/>
          <w:sz w:val="26"/>
          <w:szCs w:val="26"/>
        </w:rPr>
        <w:t>t</w:t>
      </w:r>
      <w:proofErr w:type="gramEnd"/>
      <w:r w:rsidR="0033591C">
        <w:rPr>
          <w:rFonts w:cstheme="minorHAnsi"/>
          <w:bCs/>
          <w:sz w:val="26"/>
          <w:szCs w:val="26"/>
        </w:rPr>
        <w:t xml:space="preserve"> be penalized for this either, and that the Agency </w:t>
      </w:r>
      <w:r w:rsidR="00E201E4">
        <w:rPr>
          <w:rFonts w:cstheme="minorHAnsi"/>
          <w:bCs/>
          <w:sz w:val="26"/>
          <w:szCs w:val="26"/>
        </w:rPr>
        <w:t>should</w:t>
      </w:r>
      <w:r w:rsidR="0033591C">
        <w:rPr>
          <w:rFonts w:cstheme="minorHAnsi"/>
          <w:bCs/>
          <w:sz w:val="26"/>
          <w:szCs w:val="26"/>
        </w:rPr>
        <w:t xml:space="preserve"> extend leave or the ability to telework</w:t>
      </w:r>
      <w:r w:rsidR="00E201E4">
        <w:rPr>
          <w:rFonts w:cstheme="minorHAnsi"/>
          <w:bCs/>
          <w:sz w:val="26"/>
          <w:szCs w:val="26"/>
        </w:rPr>
        <w:t xml:space="preserve"> to solve this</w:t>
      </w:r>
      <w:r w:rsidR="0033591C">
        <w:rPr>
          <w:rFonts w:cstheme="minorHAnsi"/>
          <w:bCs/>
          <w:sz w:val="26"/>
          <w:szCs w:val="26"/>
        </w:rPr>
        <w:t>.</w:t>
      </w:r>
    </w:p>
    <w:p w14:paraId="2EB0D46B" w14:textId="094B114A" w:rsidR="00E8172B" w:rsidRDefault="0033591C" w:rsidP="00EF27C6">
      <w:pPr>
        <w:jc w:val="both"/>
        <w:rPr>
          <w:rFonts w:cstheme="minorHAnsi"/>
          <w:bCs/>
          <w:sz w:val="26"/>
          <w:szCs w:val="26"/>
        </w:rPr>
      </w:pPr>
      <w:r>
        <w:rPr>
          <w:rFonts w:cstheme="minorHAnsi"/>
          <w:bCs/>
          <w:sz w:val="26"/>
          <w:szCs w:val="26"/>
        </w:rPr>
        <w:t xml:space="preserve">But </w:t>
      </w:r>
      <w:r w:rsidR="00433758">
        <w:rPr>
          <w:rFonts w:cstheme="minorHAnsi"/>
          <w:bCs/>
          <w:sz w:val="26"/>
          <w:szCs w:val="26"/>
        </w:rPr>
        <w:t>it is</w:t>
      </w:r>
      <w:r>
        <w:rPr>
          <w:rFonts w:cstheme="minorHAnsi"/>
          <w:bCs/>
          <w:sz w:val="26"/>
          <w:szCs w:val="26"/>
        </w:rPr>
        <w:t xml:space="preserve"> understandable to </w:t>
      </w:r>
      <w:r w:rsidR="00E8172B">
        <w:rPr>
          <w:rFonts w:cstheme="minorHAnsi"/>
          <w:bCs/>
          <w:sz w:val="26"/>
          <w:szCs w:val="26"/>
        </w:rPr>
        <w:t>feel like</w:t>
      </w:r>
      <w:r>
        <w:rPr>
          <w:rFonts w:cstheme="minorHAnsi"/>
          <w:bCs/>
          <w:sz w:val="26"/>
          <w:szCs w:val="26"/>
        </w:rPr>
        <w:t xml:space="preserve"> </w:t>
      </w:r>
      <w:r w:rsidR="00433758">
        <w:rPr>
          <w:rFonts w:cstheme="minorHAnsi"/>
          <w:bCs/>
          <w:sz w:val="26"/>
          <w:szCs w:val="26"/>
        </w:rPr>
        <w:t>you are</w:t>
      </w:r>
      <w:r>
        <w:rPr>
          <w:rFonts w:cstheme="minorHAnsi"/>
          <w:bCs/>
          <w:sz w:val="26"/>
          <w:szCs w:val="26"/>
        </w:rPr>
        <w:t xml:space="preserve"> being penalized by having to use your own leave</w:t>
      </w:r>
      <w:r w:rsidR="00433758">
        <w:rPr>
          <w:rFonts w:cstheme="minorHAnsi"/>
          <w:bCs/>
          <w:sz w:val="26"/>
          <w:szCs w:val="26"/>
        </w:rPr>
        <w:t xml:space="preserve"> in a situation like this</w:t>
      </w:r>
      <w:r w:rsidR="0036610B">
        <w:rPr>
          <w:rFonts w:cstheme="minorHAnsi"/>
          <w:bCs/>
          <w:sz w:val="26"/>
          <w:szCs w:val="26"/>
        </w:rPr>
        <w:t xml:space="preserve"> while others </w:t>
      </w:r>
      <w:proofErr w:type="gramStart"/>
      <w:r w:rsidR="0036610B">
        <w:rPr>
          <w:rFonts w:cstheme="minorHAnsi"/>
          <w:bCs/>
          <w:sz w:val="26"/>
          <w:szCs w:val="26"/>
        </w:rPr>
        <w:t>don’t</w:t>
      </w:r>
      <w:proofErr w:type="gramEnd"/>
      <w:r w:rsidR="0036610B">
        <w:rPr>
          <w:rFonts w:cstheme="minorHAnsi"/>
          <w:bCs/>
          <w:sz w:val="26"/>
          <w:szCs w:val="26"/>
        </w:rPr>
        <w:t xml:space="preserve"> have to</w:t>
      </w:r>
      <w:r>
        <w:rPr>
          <w:rFonts w:cstheme="minorHAnsi"/>
          <w:bCs/>
          <w:sz w:val="26"/>
          <w:szCs w:val="26"/>
        </w:rPr>
        <w:t xml:space="preserve">.  For emergency responders – including many public works field staff and police department staff – the pandemic </w:t>
      </w:r>
      <w:r w:rsidR="00433758">
        <w:rPr>
          <w:rFonts w:cstheme="minorHAnsi"/>
          <w:bCs/>
          <w:sz w:val="26"/>
          <w:szCs w:val="26"/>
        </w:rPr>
        <w:t>has not</w:t>
      </w:r>
      <w:r>
        <w:rPr>
          <w:rFonts w:cstheme="minorHAnsi"/>
          <w:bCs/>
          <w:sz w:val="26"/>
          <w:szCs w:val="26"/>
        </w:rPr>
        <w:t xml:space="preserve"> changed much about how they work</w:t>
      </w:r>
      <w:r w:rsidR="0036610B">
        <w:rPr>
          <w:rFonts w:cstheme="minorHAnsi"/>
          <w:bCs/>
          <w:sz w:val="26"/>
          <w:szCs w:val="26"/>
        </w:rPr>
        <w:t xml:space="preserve"> except making it even more challenging</w:t>
      </w:r>
      <w:r>
        <w:rPr>
          <w:rFonts w:cstheme="minorHAnsi"/>
          <w:bCs/>
          <w:sz w:val="26"/>
          <w:szCs w:val="26"/>
        </w:rPr>
        <w:t xml:space="preserve">.  These public servants continue to put themselves in harm’s way </w:t>
      </w:r>
      <w:r w:rsidR="00433758">
        <w:rPr>
          <w:rFonts w:cstheme="minorHAnsi"/>
          <w:bCs/>
          <w:sz w:val="26"/>
          <w:szCs w:val="26"/>
        </w:rPr>
        <w:t>every</w:t>
      </w:r>
      <w:r>
        <w:rPr>
          <w:rFonts w:cstheme="minorHAnsi"/>
          <w:bCs/>
          <w:sz w:val="26"/>
          <w:szCs w:val="26"/>
        </w:rPr>
        <w:t xml:space="preserve"> day.  There </w:t>
      </w:r>
      <w:r w:rsidR="00433758">
        <w:rPr>
          <w:rFonts w:cstheme="minorHAnsi"/>
          <w:bCs/>
          <w:sz w:val="26"/>
          <w:szCs w:val="26"/>
        </w:rPr>
        <w:t>is not</w:t>
      </w:r>
      <w:r>
        <w:rPr>
          <w:rFonts w:cstheme="minorHAnsi"/>
          <w:bCs/>
          <w:sz w:val="26"/>
          <w:szCs w:val="26"/>
        </w:rPr>
        <w:t xml:space="preserve"> anything actionable about the Agency applying </w:t>
      </w:r>
      <w:r w:rsidR="00B22D8F">
        <w:rPr>
          <w:rFonts w:cstheme="minorHAnsi"/>
          <w:bCs/>
          <w:sz w:val="26"/>
          <w:szCs w:val="26"/>
        </w:rPr>
        <w:t xml:space="preserve">normal leave policies to emergency responders.  But </w:t>
      </w:r>
      <w:r w:rsidR="00590D69">
        <w:rPr>
          <w:rFonts w:cstheme="minorHAnsi"/>
          <w:bCs/>
          <w:sz w:val="26"/>
          <w:szCs w:val="26"/>
        </w:rPr>
        <w:t xml:space="preserve">you should be recognized </w:t>
      </w:r>
      <w:r w:rsidR="00B22D8F">
        <w:rPr>
          <w:rFonts w:cstheme="minorHAnsi"/>
          <w:bCs/>
          <w:sz w:val="26"/>
          <w:szCs w:val="26"/>
        </w:rPr>
        <w:t xml:space="preserve">for your contributions.  </w:t>
      </w:r>
      <w:r w:rsidR="00590D69">
        <w:rPr>
          <w:rFonts w:cstheme="minorHAnsi"/>
          <w:bCs/>
          <w:sz w:val="26"/>
          <w:szCs w:val="26"/>
        </w:rPr>
        <w:t>A</w:t>
      </w:r>
      <w:r w:rsidR="006A33CF">
        <w:rPr>
          <w:rFonts w:cstheme="minorHAnsi"/>
          <w:bCs/>
          <w:sz w:val="26"/>
          <w:szCs w:val="26"/>
        </w:rPr>
        <w:t xml:space="preserve">sk your employee organization to </w:t>
      </w:r>
      <w:r w:rsidR="00590D69">
        <w:rPr>
          <w:rFonts w:cstheme="minorHAnsi"/>
          <w:bCs/>
          <w:sz w:val="26"/>
          <w:szCs w:val="26"/>
        </w:rPr>
        <w:t>propose</w:t>
      </w:r>
      <w:r w:rsidR="00B22D8F">
        <w:rPr>
          <w:rFonts w:cstheme="minorHAnsi"/>
          <w:bCs/>
          <w:sz w:val="26"/>
          <w:szCs w:val="26"/>
        </w:rPr>
        <w:t xml:space="preserve"> hazard pay or additional leave time in your next </w:t>
      </w:r>
      <w:r w:rsidR="00590D69">
        <w:rPr>
          <w:rFonts w:cstheme="minorHAnsi"/>
          <w:bCs/>
          <w:sz w:val="26"/>
          <w:szCs w:val="26"/>
        </w:rPr>
        <w:t>MOU</w:t>
      </w:r>
      <w:r w:rsidR="00B22D8F">
        <w:rPr>
          <w:rFonts w:cstheme="minorHAnsi"/>
          <w:bCs/>
          <w:sz w:val="26"/>
          <w:szCs w:val="26"/>
        </w:rPr>
        <w:t>.</w:t>
      </w:r>
    </w:p>
    <w:p w14:paraId="483A2615" w14:textId="16440C10" w:rsidR="0033591C" w:rsidRPr="0033591C" w:rsidRDefault="00E8172B" w:rsidP="00EF27C6">
      <w:pPr>
        <w:jc w:val="both"/>
        <w:rPr>
          <w:rFonts w:cstheme="minorHAnsi"/>
          <w:bCs/>
          <w:sz w:val="26"/>
          <w:szCs w:val="26"/>
        </w:rPr>
      </w:pPr>
      <w:r>
        <w:rPr>
          <w:rFonts w:cstheme="minorHAnsi"/>
          <w:bCs/>
          <w:sz w:val="26"/>
          <w:szCs w:val="26"/>
        </w:rPr>
        <w:t xml:space="preserve">Unfortunately, the federal Coronavirus relief bill – the FFCRA – allows agencies to exempt emergency responders from the paid leave benefit.  </w:t>
      </w:r>
      <w:r w:rsidR="00590D69">
        <w:rPr>
          <w:rFonts w:cstheme="minorHAnsi"/>
          <w:bCs/>
          <w:sz w:val="26"/>
          <w:szCs w:val="26"/>
        </w:rPr>
        <w:t>T</w:t>
      </w:r>
      <w:r>
        <w:rPr>
          <w:rFonts w:cstheme="minorHAnsi"/>
          <w:bCs/>
          <w:sz w:val="26"/>
          <w:szCs w:val="26"/>
        </w:rPr>
        <w:t>here is a silver lining</w:t>
      </w:r>
      <w:r w:rsidR="009A7EC8">
        <w:rPr>
          <w:rFonts w:cstheme="minorHAnsi"/>
          <w:bCs/>
          <w:sz w:val="26"/>
          <w:szCs w:val="26"/>
        </w:rPr>
        <w:t>!</w:t>
      </w:r>
      <w:r>
        <w:rPr>
          <w:rFonts w:cstheme="minorHAnsi"/>
          <w:bCs/>
          <w:sz w:val="26"/>
          <w:szCs w:val="26"/>
        </w:rPr>
        <w:t xml:space="preserve">  The recently enacted Executive Order signed by Governor Newsom presumes that emergency responder</w:t>
      </w:r>
      <w:r w:rsidR="00923F41">
        <w:rPr>
          <w:rFonts w:cstheme="minorHAnsi"/>
          <w:bCs/>
          <w:sz w:val="26"/>
          <w:szCs w:val="26"/>
        </w:rPr>
        <w:t>s</w:t>
      </w:r>
      <w:r>
        <w:rPr>
          <w:rFonts w:cstheme="minorHAnsi"/>
          <w:bCs/>
          <w:sz w:val="26"/>
          <w:szCs w:val="26"/>
        </w:rPr>
        <w:t xml:space="preserve"> who get COVID-19 </w:t>
      </w:r>
      <w:r w:rsidR="00433758">
        <w:rPr>
          <w:rFonts w:cstheme="minorHAnsi"/>
          <w:bCs/>
          <w:sz w:val="26"/>
          <w:szCs w:val="26"/>
        </w:rPr>
        <w:t>contracted the disease</w:t>
      </w:r>
      <w:r w:rsidR="00923F41">
        <w:rPr>
          <w:rFonts w:cstheme="minorHAnsi"/>
          <w:bCs/>
          <w:sz w:val="26"/>
          <w:szCs w:val="26"/>
        </w:rPr>
        <w:t xml:space="preserve"> on-the-job and are therefore </w:t>
      </w:r>
      <w:r>
        <w:rPr>
          <w:rFonts w:cstheme="minorHAnsi"/>
          <w:bCs/>
          <w:sz w:val="26"/>
          <w:szCs w:val="26"/>
        </w:rPr>
        <w:t xml:space="preserve">eligible for workers compensation benefits.  </w:t>
      </w:r>
      <w:r w:rsidR="00B22D8F">
        <w:rPr>
          <w:rFonts w:cstheme="minorHAnsi"/>
          <w:bCs/>
          <w:sz w:val="26"/>
          <w:szCs w:val="26"/>
        </w:rPr>
        <w:t xml:space="preserve">   </w:t>
      </w:r>
      <w:r w:rsidR="0033591C">
        <w:rPr>
          <w:rFonts w:cstheme="minorHAnsi"/>
          <w:bCs/>
          <w:sz w:val="26"/>
          <w:szCs w:val="26"/>
        </w:rPr>
        <w:t xml:space="preserve">  </w:t>
      </w:r>
    </w:p>
    <w:p w14:paraId="57F3F335" w14:textId="3453DB00" w:rsidR="00EF27C6" w:rsidRPr="004803A4" w:rsidRDefault="00EF27C6" w:rsidP="00EF27C6">
      <w:pPr>
        <w:jc w:val="both"/>
        <w:rPr>
          <w:rFonts w:cstheme="minorHAnsi"/>
          <w:b/>
          <w:sz w:val="26"/>
          <w:szCs w:val="26"/>
        </w:rPr>
      </w:pPr>
      <w:r w:rsidRPr="004803A4">
        <w:rPr>
          <w:rFonts w:cstheme="minorHAnsi"/>
          <w:b/>
          <w:sz w:val="26"/>
          <w:szCs w:val="26"/>
        </w:rPr>
        <w:t xml:space="preserve">Question:  </w:t>
      </w:r>
      <w:r>
        <w:rPr>
          <w:rFonts w:cstheme="minorHAnsi"/>
          <w:b/>
          <w:sz w:val="26"/>
          <w:szCs w:val="26"/>
        </w:rPr>
        <w:t xml:space="preserve">I am in the “high-risk” category for COVID-19.  I am 58 and I have an underlying medical condition.  My job also requires that I work closely with the public.  The last few months, this has not been an issue.  Facilities have been closed to the public.  But now that we are re-opening, I have concerns </w:t>
      </w:r>
      <w:r>
        <w:rPr>
          <w:rFonts w:cstheme="minorHAnsi"/>
          <w:b/>
          <w:sz w:val="26"/>
          <w:szCs w:val="26"/>
        </w:rPr>
        <w:lastRenderedPageBreak/>
        <w:t>about going back to work.  I worked hard for my pension</w:t>
      </w:r>
      <w:r w:rsidR="00E201E4">
        <w:rPr>
          <w:rFonts w:cstheme="minorHAnsi"/>
          <w:b/>
          <w:sz w:val="26"/>
          <w:szCs w:val="26"/>
        </w:rPr>
        <w:t>.</w:t>
      </w:r>
      <w:r>
        <w:rPr>
          <w:rFonts w:cstheme="minorHAnsi"/>
          <w:b/>
          <w:sz w:val="26"/>
          <w:szCs w:val="26"/>
        </w:rPr>
        <w:t xml:space="preserve">  I </w:t>
      </w:r>
      <w:proofErr w:type="gramStart"/>
      <w:r>
        <w:rPr>
          <w:rFonts w:cstheme="minorHAnsi"/>
          <w:b/>
          <w:sz w:val="26"/>
          <w:szCs w:val="26"/>
        </w:rPr>
        <w:t>don</w:t>
      </w:r>
      <w:r w:rsidR="00E201E4">
        <w:rPr>
          <w:rFonts w:cstheme="minorHAnsi"/>
          <w:b/>
          <w:sz w:val="26"/>
          <w:szCs w:val="26"/>
        </w:rPr>
        <w:t>’</w:t>
      </w:r>
      <w:r>
        <w:rPr>
          <w:rFonts w:cstheme="minorHAnsi"/>
          <w:b/>
          <w:sz w:val="26"/>
          <w:szCs w:val="26"/>
        </w:rPr>
        <w:t>t</w:t>
      </w:r>
      <w:proofErr w:type="gramEnd"/>
      <w:r>
        <w:rPr>
          <w:rFonts w:cstheme="minorHAnsi"/>
          <w:b/>
          <w:sz w:val="26"/>
          <w:szCs w:val="26"/>
        </w:rPr>
        <w:t xml:space="preserve"> want to go back to work and risk getting the disease.  </w:t>
      </w:r>
      <w:r w:rsidR="00E201E4">
        <w:rPr>
          <w:rFonts w:cstheme="minorHAnsi"/>
          <w:b/>
          <w:sz w:val="26"/>
          <w:szCs w:val="26"/>
        </w:rPr>
        <w:t>It</w:t>
      </w:r>
      <w:r>
        <w:rPr>
          <w:rFonts w:cstheme="minorHAnsi"/>
          <w:b/>
          <w:sz w:val="26"/>
          <w:szCs w:val="26"/>
        </w:rPr>
        <w:t xml:space="preserve"> is not the </w:t>
      </w:r>
      <w:r w:rsidR="00E201E4">
        <w:rPr>
          <w:rFonts w:cstheme="minorHAnsi"/>
          <w:b/>
          <w:sz w:val="26"/>
          <w:szCs w:val="26"/>
        </w:rPr>
        <w:t>retirement</w:t>
      </w:r>
      <w:r>
        <w:rPr>
          <w:rFonts w:cstheme="minorHAnsi"/>
          <w:b/>
          <w:sz w:val="26"/>
          <w:szCs w:val="26"/>
        </w:rPr>
        <w:t xml:space="preserve"> I had envisioned.  I am eligible to retire, but I hop</w:t>
      </w:r>
      <w:r w:rsidR="00E201E4">
        <w:rPr>
          <w:rFonts w:cstheme="minorHAnsi"/>
          <w:b/>
          <w:sz w:val="26"/>
          <w:szCs w:val="26"/>
        </w:rPr>
        <w:t>ed</w:t>
      </w:r>
      <w:r>
        <w:rPr>
          <w:rFonts w:cstheme="minorHAnsi"/>
          <w:b/>
          <w:sz w:val="26"/>
          <w:szCs w:val="26"/>
        </w:rPr>
        <w:t xml:space="preserve"> to work until age 60 and accrue another two years of service credit.  How do I go about requesting an early retirement incentive?  I had heard other agencies offer this to their employees and I want to know what this entails.</w:t>
      </w:r>
    </w:p>
    <w:p w14:paraId="1831F03E" w14:textId="5451A266" w:rsidR="009A7EC8" w:rsidRDefault="00EF27C6" w:rsidP="00EF27C6">
      <w:pPr>
        <w:jc w:val="both"/>
        <w:rPr>
          <w:rFonts w:cstheme="minorHAnsi"/>
          <w:bCs/>
          <w:sz w:val="26"/>
          <w:szCs w:val="26"/>
        </w:rPr>
      </w:pPr>
      <w:r w:rsidRPr="004803A4">
        <w:rPr>
          <w:rFonts w:cstheme="minorHAnsi"/>
          <w:b/>
          <w:sz w:val="26"/>
          <w:szCs w:val="26"/>
        </w:rPr>
        <w:t xml:space="preserve">Answer:  </w:t>
      </w:r>
      <w:r w:rsidR="009A7EC8">
        <w:rPr>
          <w:rFonts w:cstheme="minorHAnsi"/>
          <w:bCs/>
          <w:sz w:val="26"/>
          <w:szCs w:val="26"/>
        </w:rPr>
        <w:t>Congratulations on a noteworthy career in public service.  A retirement well-deserved!  Contact y</w:t>
      </w:r>
      <w:r w:rsidR="00C609E5" w:rsidRPr="00C609E5">
        <w:rPr>
          <w:rFonts w:cstheme="minorHAnsi"/>
          <w:bCs/>
          <w:sz w:val="26"/>
          <w:szCs w:val="26"/>
        </w:rPr>
        <w:t xml:space="preserve">our </w:t>
      </w:r>
      <w:r w:rsidR="009A7EC8">
        <w:rPr>
          <w:rFonts w:cstheme="minorHAnsi"/>
          <w:bCs/>
          <w:sz w:val="26"/>
          <w:szCs w:val="26"/>
        </w:rPr>
        <w:t xml:space="preserve">employee organization, who </w:t>
      </w:r>
      <w:r w:rsidR="00C609E5" w:rsidRPr="00C609E5">
        <w:rPr>
          <w:rFonts w:cstheme="minorHAnsi"/>
          <w:bCs/>
          <w:sz w:val="26"/>
          <w:szCs w:val="26"/>
        </w:rPr>
        <w:t xml:space="preserve">can start </w:t>
      </w:r>
      <w:r w:rsidR="009A7EC8">
        <w:rPr>
          <w:rFonts w:cstheme="minorHAnsi"/>
          <w:bCs/>
          <w:sz w:val="26"/>
          <w:szCs w:val="26"/>
        </w:rPr>
        <w:t>a</w:t>
      </w:r>
      <w:r w:rsidR="00C609E5" w:rsidRPr="00C609E5">
        <w:rPr>
          <w:rFonts w:cstheme="minorHAnsi"/>
          <w:bCs/>
          <w:sz w:val="26"/>
          <w:szCs w:val="26"/>
        </w:rPr>
        <w:t xml:space="preserve"> discussion with </w:t>
      </w:r>
      <w:r w:rsidR="009A7EC8">
        <w:rPr>
          <w:rFonts w:cstheme="minorHAnsi"/>
          <w:bCs/>
          <w:sz w:val="26"/>
          <w:szCs w:val="26"/>
        </w:rPr>
        <w:t xml:space="preserve">your </w:t>
      </w:r>
      <w:r w:rsidR="00C609E5" w:rsidRPr="00C609E5">
        <w:rPr>
          <w:rFonts w:cstheme="minorHAnsi"/>
          <w:bCs/>
          <w:sz w:val="26"/>
          <w:szCs w:val="26"/>
        </w:rPr>
        <w:t xml:space="preserve">Agency to see if there is </w:t>
      </w:r>
      <w:r w:rsidR="009A7EC8">
        <w:rPr>
          <w:rFonts w:cstheme="minorHAnsi"/>
          <w:bCs/>
          <w:sz w:val="26"/>
          <w:szCs w:val="26"/>
        </w:rPr>
        <w:t xml:space="preserve">mutual </w:t>
      </w:r>
      <w:r w:rsidR="00C609E5" w:rsidRPr="00C609E5">
        <w:rPr>
          <w:rFonts w:cstheme="minorHAnsi"/>
          <w:bCs/>
          <w:sz w:val="26"/>
          <w:szCs w:val="26"/>
        </w:rPr>
        <w:t xml:space="preserve">interest in offering an early retirement incentive.  </w:t>
      </w:r>
      <w:r w:rsidR="00393C83">
        <w:rPr>
          <w:rFonts w:cstheme="minorHAnsi"/>
          <w:bCs/>
          <w:sz w:val="26"/>
          <w:szCs w:val="26"/>
        </w:rPr>
        <w:t>Due to the</w:t>
      </w:r>
      <w:r w:rsidR="003C2A46">
        <w:rPr>
          <w:rFonts w:cstheme="minorHAnsi"/>
          <w:bCs/>
          <w:sz w:val="26"/>
          <w:szCs w:val="26"/>
        </w:rPr>
        <w:t xml:space="preserve"> current</w:t>
      </w:r>
      <w:r w:rsidR="00393C83">
        <w:rPr>
          <w:rFonts w:cstheme="minorHAnsi"/>
          <w:bCs/>
          <w:sz w:val="26"/>
          <w:szCs w:val="26"/>
        </w:rPr>
        <w:t xml:space="preserve"> econom</w:t>
      </w:r>
      <w:r w:rsidR="003C2A46">
        <w:rPr>
          <w:rFonts w:cstheme="minorHAnsi"/>
          <w:bCs/>
          <w:sz w:val="26"/>
          <w:szCs w:val="26"/>
        </w:rPr>
        <w:t>y</w:t>
      </w:r>
      <w:r w:rsidR="00393C83">
        <w:rPr>
          <w:rFonts w:cstheme="minorHAnsi"/>
          <w:bCs/>
          <w:sz w:val="26"/>
          <w:szCs w:val="26"/>
        </w:rPr>
        <w:t>, some</w:t>
      </w:r>
      <w:r w:rsidR="009A7EC8">
        <w:rPr>
          <w:rFonts w:cstheme="minorHAnsi"/>
          <w:bCs/>
          <w:sz w:val="26"/>
          <w:szCs w:val="26"/>
        </w:rPr>
        <w:t xml:space="preserve"> agencies </w:t>
      </w:r>
      <w:r w:rsidR="00393C83">
        <w:rPr>
          <w:rFonts w:cstheme="minorHAnsi"/>
          <w:bCs/>
          <w:sz w:val="26"/>
          <w:szCs w:val="26"/>
        </w:rPr>
        <w:t xml:space="preserve">have been </w:t>
      </w:r>
      <w:r w:rsidR="009A7EC8">
        <w:rPr>
          <w:rFonts w:cstheme="minorHAnsi"/>
          <w:bCs/>
          <w:sz w:val="26"/>
          <w:szCs w:val="26"/>
        </w:rPr>
        <w:t>offering incentives – such as a one-time cash-payment and/or several months of medical benefits.  Much less common is the “golden handshake</w:t>
      </w:r>
      <w:r w:rsidR="00ED79D1">
        <w:rPr>
          <w:rFonts w:cstheme="minorHAnsi"/>
          <w:bCs/>
          <w:sz w:val="26"/>
          <w:szCs w:val="26"/>
        </w:rPr>
        <w:t>,</w:t>
      </w:r>
      <w:r w:rsidR="009A7EC8">
        <w:rPr>
          <w:rFonts w:cstheme="minorHAnsi"/>
          <w:bCs/>
          <w:sz w:val="26"/>
          <w:szCs w:val="26"/>
        </w:rPr>
        <w:t xml:space="preserve">” which is </w:t>
      </w:r>
      <w:r w:rsidR="003C2A46">
        <w:rPr>
          <w:rFonts w:cstheme="minorHAnsi"/>
          <w:bCs/>
          <w:sz w:val="26"/>
          <w:szCs w:val="26"/>
        </w:rPr>
        <w:t>2-</w:t>
      </w:r>
      <w:r w:rsidR="009A7EC8">
        <w:rPr>
          <w:rFonts w:cstheme="minorHAnsi"/>
          <w:bCs/>
          <w:sz w:val="26"/>
          <w:szCs w:val="26"/>
        </w:rPr>
        <w:t xml:space="preserve">years of service credit towards your pension.  But to qualify, the Agency must be able to show </w:t>
      </w:r>
      <w:r w:rsidR="00393C83">
        <w:rPr>
          <w:rFonts w:cstheme="minorHAnsi"/>
          <w:bCs/>
          <w:sz w:val="26"/>
          <w:szCs w:val="26"/>
        </w:rPr>
        <w:t xml:space="preserve">the pension fund that it will result in </w:t>
      </w:r>
      <w:r w:rsidR="009A7EC8">
        <w:rPr>
          <w:rFonts w:cstheme="minorHAnsi"/>
          <w:bCs/>
          <w:sz w:val="26"/>
          <w:szCs w:val="26"/>
        </w:rPr>
        <w:t>cost-savings</w:t>
      </w:r>
      <w:r w:rsidR="00393C83">
        <w:rPr>
          <w:rFonts w:cstheme="minorHAnsi"/>
          <w:bCs/>
          <w:sz w:val="26"/>
          <w:szCs w:val="26"/>
        </w:rPr>
        <w:t xml:space="preserve">.  The Agency must also </w:t>
      </w:r>
      <w:r w:rsidR="009A7EC8">
        <w:rPr>
          <w:rFonts w:cstheme="minorHAnsi"/>
          <w:bCs/>
          <w:sz w:val="26"/>
          <w:szCs w:val="26"/>
        </w:rPr>
        <w:t xml:space="preserve">certify that it is </w:t>
      </w:r>
      <w:r w:rsidR="007237A9">
        <w:rPr>
          <w:rFonts w:cstheme="minorHAnsi"/>
          <w:bCs/>
          <w:sz w:val="26"/>
          <w:szCs w:val="26"/>
        </w:rPr>
        <w:t>being offered</w:t>
      </w:r>
      <w:r w:rsidR="00393C83">
        <w:rPr>
          <w:rFonts w:cstheme="minorHAnsi"/>
          <w:bCs/>
          <w:sz w:val="26"/>
          <w:szCs w:val="26"/>
        </w:rPr>
        <w:t xml:space="preserve"> </w:t>
      </w:r>
      <w:r w:rsidR="009A7EC8">
        <w:rPr>
          <w:rFonts w:cstheme="minorHAnsi"/>
          <w:bCs/>
          <w:sz w:val="26"/>
          <w:szCs w:val="26"/>
        </w:rPr>
        <w:t>to avoid layoffs</w:t>
      </w:r>
      <w:r w:rsidR="0036610B">
        <w:rPr>
          <w:rFonts w:cstheme="minorHAnsi"/>
          <w:bCs/>
          <w:sz w:val="26"/>
          <w:szCs w:val="26"/>
        </w:rPr>
        <w:t>,</w:t>
      </w:r>
      <w:r w:rsidR="009A7EC8">
        <w:rPr>
          <w:rFonts w:cstheme="minorHAnsi"/>
          <w:bCs/>
          <w:sz w:val="26"/>
          <w:szCs w:val="26"/>
        </w:rPr>
        <w:t xml:space="preserve"> that the</w:t>
      </w:r>
      <w:r w:rsidR="007237A9">
        <w:rPr>
          <w:rFonts w:cstheme="minorHAnsi"/>
          <w:bCs/>
          <w:sz w:val="26"/>
          <w:szCs w:val="26"/>
        </w:rPr>
        <w:t xml:space="preserve">y </w:t>
      </w:r>
      <w:proofErr w:type="gramStart"/>
      <w:r w:rsidR="007237A9">
        <w:rPr>
          <w:rFonts w:cstheme="minorHAnsi"/>
          <w:bCs/>
          <w:sz w:val="26"/>
          <w:szCs w:val="26"/>
        </w:rPr>
        <w:t>won’t</w:t>
      </w:r>
      <w:proofErr w:type="gramEnd"/>
      <w:r w:rsidR="007237A9">
        <w:rPr>
          <w:rFonts w:cstheme="minorHAnsi"/>
          <w:bCs/>
          <w:sz w:val="26"/>
          <w:szCs w:val="26"/>
        </w:rPr>
        <w:t xml:space="preserve"> backfill the</w:t>
      </w:r>
      <w:r w:rsidR="009A7EC8">
        <w:rPr>
          <w:rFonts w:cstheme="minorHAnsi"/>
          <w:bCs/>
          <w:sz w:val="26"/>
          <w:szCs w:val="26"/>
        </w:rPr>
        <w:t xml:space="preserve"> resulting vacancy</w:t>
      </w:r>
      <w:r w:rsidR="0036610B">
        <w:rPr>
          <w:rFonts w:cstheme="minorHAnsi"/>
          <w:bCs/>
          <w:sz w:val="26"/>
          <w:szCs w:val="26"/>
        </w:rPr>
        <w:t xml:space="preserve">, and that they will eliminate the position from their classification plan </w:t>
      </w:r>
      <w:r w:rsidR="003C2A46">
        <w:rPr>
          <w:rFonts w:cstheme="minorHAnsi"/>
          <w:bCs/>
          <w:sz w:val="26"/>
          <w:szCs w:val="26"/>
        </w:rPr>
        <w:t>altogether</w:t>
      </w:r>
      <w:r w:rsidR="009A7EC8">
        <w:rPr>
          <w:rFonts w:cstheme="minorHAnsi"/>
          <w:bCs/>
          <w:sz w:val="26"/>
          <w:szCs w:val="26"/>
        </w:rPr>
        <w:t xml:space="preserve">. </w:t>
      </w:r>
    </w:p>
    <w:p w14:paraId="7082A242" w14:textId="1EA7F1E0" w:rsidR="00393C83" w:rsidRDefault="00393C83" w:rsidP="00EF27C6">
      <w:pPr>
        <w:jc w:val="both"/>
        <w:rPr>
          <w:rFonts w:cstheme="minorHAnsi"/>
          <w:bCs/>
          <w:sz w:val="26"/>
          <w:szCs w:val="26"/>
        </w:rPr>
      </w:pPr>
      <w:r>
        <w:rPr>
          <w:rFonts w:cstheme="minorHAnsi"/>
          <w:bCs/>
          <w:sz w:val="26"/>
          <w:szCs w:val="26"/>
        </w:rPr>
        <w:t xml:space="preserve">Although there are </w:t>
      </w:r>
      <w:r w:rsidR="00ED79D1">
        <w:rPr>
          <w:rFonts w:cstheme="minorHAnsi"/>
          <w:bCs/>
          <w:sz w:val="26"/>
          <w:szCs w:val="26"/>
        </w:rPr>
        <w:t>many</w:t>
      </w:r>
      <w:r>
        <w:rPr>
          <w:rFonts w:cstheme="minorHAnsi"/>
          <w:bCs/>
          <w:sz w:val="26"/>
          <w:szCs w:val="26"/>
        </w:rPr>
        <w:t xml:space="preserve"> reasons why an early retirement incentive makes sense, know that your Agency is not required to provide one.  If they </w:t>
      </w:r>
      <w:r w:rsidR="00C00599">
        <w:rPr>
          <w:rFonts w:cstheme="minorHAnsi"/>
          <w:bCs/>
          <w:sz w:val="26"/>
          <w:szCs w:val="26"/>
        </w:rPr>
        <w:t>do not</w:t>
      </w:r>
      <w:r>
        <w:rPr>
          <w:rFonts w:cstheme="minorHAnsi"/>
          <w:bCs/>
          <w:sz w:val="26"/>
          <w:szCs w:val="26"/>
        </w:rPr>
        <w:t xml:space="preserve">, you might </w:t>
      </w:r>
      <w:r>
        <w:rPr>
          <w:rFonts w:cstheme="minorHAnsi"/>
          <w:bCs/>
          <w:sz w:val="26"/>
          <w:szCs w:val="26"/>
        </w:rPr>
        <w:t>consider retirement anyways.  At 58</w:t>
      </w:r>
      <w:r w:rsidR="00C00599">
        <w:rPr>
          <w:rFonts w:cstheme="minorHAnsi"/>
          <w:bCs/>
          <w:sz w:val="26"/>
          <w:szCs w:val="26"/>
        </w:rPr>
        <w:t>,</w:t>
      </w:r>
      <w:r>
        <w:rPr>
          <w:rFonts w:cstheme="minorHAnsi"/>
          <w:bCs/>
          <w:sz w:val="26"/>
          <w:szCs w:val="26"/>
        </w:rPr>
        <w:t xml:space="preserve"> with an underlying medical condition, </w:t>
      </w:r>
      <w:r w:rsidR="00C00599">
        <w:rPr>
          <w:rFonts w:cstheme="minorHAnsi"/>
          <w:bCs/>
          <w:sz w:val="26"/>
          <w:szCs w:val="26"/>
        </w:rPr>
        <w:t xml:space="preserve">and a job where you regularly interact with the public, </w:t>
      </w:r>
      <w:r w:rsidR="00ED3507">
        <w:rPr>
          <w:rFonts w:cstheme="minorHAnsi"/>
          <w:bCs/>
          <w:sz w:val="26"/>
          <w:szCs w:val="26"/>
        </w:rPr>
        <w:t xml:space="preserve">it is not unreasonable for you to </w:t>
      </w:r>
      <w:r w:rsidR="00FB74C9">
        <w:rPr>
          <w:rFonts w:cstheme="minorHAnsi"/>
          <w:bCs/>
          <w:sz w:val="26"/>
          <w:szCs w:val="26"/>
        </w:rPr>
        <w:t xml:space="preserve">conclude that </w:t>
      </w:r>
      <w:r w:rsidR="00ED3507">
        <w:rPr>
          <w:rFonts w:cstheme="minorHAnsi"/>
          <w:bCs/>
          <w:sz w:val="26"/>
          <w:szCs w:val="26"/>
        </w:rPr>
        <w:t xml:space="preserve">your </w:t>
      </w:r>
      <w:r>
        <w:rPr>
          <w:rFonts w:cstheme="minorHAnsi"/>
          <w:bCs/>
          <w:sz w:val="26"/>
          <w:szCs w:val="26"/>
        </w:rPr>
        <w:t xml:space="preserve">pre-pandemic retirement </w:t>
      </w:r>
      <w:r w:rsidR="00ED3507">
        <w:rPr>
          <w:rFonts w:cstheme="minorHAnsi"/>
          <w:bCs/>
          <w:sz w:val="26"/>
          <w:szCs w:val="26"/>
        </w:rPr>
        <w:t>goals</w:t>
      </w:r>
      <w:r w:rsidR="00FB74C9">
        <w:rPr>
          <w:rFonts w:cstheme="minorHAnsi"/>
          <w:bCs/>
          <w:sz w:val="26"/>
          <w:szCs w:val="26"/>
        </w:rPr>
        <w:t xml:space="preserve"> should be re-evaluated</w:t>
      </w:r>
      <w:r w:rsidR="00ED3507">
        <w:rPr>
          <w:rFonts w:cstheme="minorHAnsi"/>
          <w:bCs/>
          <w:sz w:val="26"/>
          <w:szCs w:val="26"/>
        </w:rPr>
        <w:t>.</w:t>
      </w:r>
      <w:r>
        <w:rPr>
          <w:rFonts w:cstheme="minorHAnsi"/>
          <w:bCs/>
          <w:sz w:val="26"/>
          <w:szCs w:val="26"/>
        </w:rPr>
        <w:t xml:space="preserve"> </w:t>
      </w:r>
      <w:r w:rsidR="00ED3507">
        <w:rPr>
          <w:rFonts w:cstheme="minorHAnsi"/>
          <w:bCs/>
          <w:sz w:val="26"/>
          <w:szCs w:val="26"/>
        </w:rPr>
        <w:t xml:space="preserve"> Others j</w:t>
      </w:r>
      <w:r>
        <w:rPr>
          <w:rFonts w:cstheme="minorHAnsi"/>
          <w:bCs/>
          <w:sz w:val="26"/>
          <w:szCs w:val="26"/>
        </w:rPr>
        <w:t xml:space="preserve">ust like you are reconsidering their plans </w:t>
      </w:r>
      <w:r w:rsidR="00FB74C9">
        <w:rPr>
          <w:rFonts w:cstheme="minorHAnsi"/>
          <w:bCs/>
          <w:sz w:val="26"/>
          <w:szCs w:val="26"/>
        </w:rPr>
        <w:t xml:space="preserve">as well, </w:t>
      </w:r>
      <w:r>
        <w:rPr>
          <w:rFonts w:cstheme="minorHAnsi"/>
          <w:bCs/>
          <w:sz w:val="26"/>
          <w:szCs w:val="26"/>
        </w:rPr>
        <w:t xml:space="preserve">in </w:t>
      </w:r>
      <w:r w:rsidR="00164874">
        <w:rPr>
          <w:rFonts w:cstheme="minorHAnsi"/>
          <w:bCs/>
          <w:sz w:val="26"/>
          <w:szCs w:val="26"/>
        </w:rPr>
        <w:t xml:space="preserve">part due to </w:t>
      </w:r>
      <w:r>
        <w:rPr>
          <w:rFonts w:cstheme="minorHAnsi"/>
          <w:bCs/>
          <w:sz w:val="26"/>
          <w:szCs w:val="26"/>
        </w:rPr>
        <w:t xml:space="preserve">the </w:t>
      </w:r>
      <w:r w:rsidR="008626EA">
        <w:rPr>
          <w:rFonts w:cstheme="minorHAnsi"/>
          <w:bCs/>
          <w:sz w:val="26"/>
          <w:szCs w:val="26"/>
        </w:rPr>
        <w:t>increased</w:t>
      </w:r>
      <w:r>
        <w:rPr>
          <w:rFonts w:cstheme="minorHAnsi"/>
          <w:bCs/>
          <w:sz w:val="26"/>
          <w:szCs w:val="26"/>
        </w:rPr>
        <w:t xml:space="preserve"> </w:t>
      </w:r>
      <w:r w:rsidR="00ED3507">
        <w:rPr>
          <w:rFonts w:cstheme="minorHAnsi"/>
          <w:bCs/>
          <w:sz w:val="26"/>
          <w:szCs w:val="26"/>
        </w:rPr>
        <w:t xml:space="preserve">health </w:t>
      </w:r>
      <w:r>
        <w:rPr>
          <w:rFonts w:cstheme="minorHAnsi"/>
          <w:bCs/>
          <w:sz w:val="26"/>
          <w:szCs w:val="26"/>
        </w:rPr>
        <w:t>risks.</w:t>
      </w:r>
      <w:r w:rsidR="008626EA">
        <w:rPr>
          <w:rFonts w:cstheme="minorHAnsi"/>
          <w:bCs/>
          <w:sz w:val="26"/>
          <w:szCs w:val="26"/>
        </w:rPr>
        <w:t xml:space="preserve">  Some are retiring from public service and will </w:t>
      </w:r>
      <w:r w:rsidR="00FB74C9">
        <w:rPr>
          <w:rFonts w:cstheme="minorHAnsi"/>
          <w:bCs/>
          <w:sz w:val="26"/>
          <w:szCs w:val="26"/>
        </w:rPr>
        <w:t>re</w:t>
      </w:r>
      <w:r w:rsidR="008626EA">
        <w:rPr>
          <w:rFonts w:cstheme="minorHAnsi"/>
          <w:bCs/>
          <w:sz w:val="26"/>
          <w:szCs w:val="26"/>
        </w:rPr>
        <w:t>consider work</w:t>
      </w:r>
      <w:r>
        <w:rPr>
          <w:rFonts w:cstheme="minorHAnsi"/>
          <w:bCs/>
          <w:sz w:val="26"/>
          <w:szCs w:val="26"/>
        </w:rPr>
        <w:t xml:space="preserve"> </w:t>
      </w:r>
      <w:r w:rsidR="008626EA">
        <w:rPr>
          <w:rFonts w:cstheme="minorHAnsi"/>
          <w:bCs/>
          <w:sz w:val="26"/>
          <w:szCs w:val="26"/>
        </w:rPr>
        <w:t xml:space="preserve">once it </w:t>
      </w:r>
      <w:r w:rsidR="00FB74C9">
        <w:rPr>
          <w:rFonts w:cstheme="minorHAnsi"/>
          <w:bCs/>
          <w:sz w:val="26"/>
          <w:szCs w:val="26"/>
        </w:rPr>
        <w:t>i</w:t>
      </w:r>
      <w:r w:rsidR="008626EA">
        <w:rPr>
          <w:rFonts w:cstheme="minorHAnsi"/>
          <w:bCs/>
          <w:sz w:val="26"/>
          <w:szCs w:val="26"/>
        </w:rPr>
        <w:t xml:space="preserve">s safe to do so.  You can collect your pension and work </w:t>
      </w:r>
      <w:r w:rsidR="00FB74C9">
        <w:rPr>
          <w:rFonts w:cstheme="minorHAnsi"/>
          <w:bCs/>
          <w:sz w:val="26"/>
          <w:szCs w:val="26"/>
        </w:rPr>
        <w:t>a</w:t>
      </w:r>
      <w:r w:rsidR="008626EA">
        <w:rPr>
          <w:rFonts w:cstheme="minorHAnsi"/>
          <w:bCs/>
          <w:sz w:val="26"/>
          <w:szCs w:val="26"/>
        </w:rPr>
        <w:t xml:space="preserve"> private</w:t>
      </w:r>
      <w:r w:rsidR="00FB74C9">
        <w:rPr>
          <w:rFonts w:cstheme="minorHAnsi"/>
          <w:bCs/>
          <w:sz w:val="26"/>
          <w:szCs w:val="26"/>
        </w:rPr>
        <w:t>-</w:t>
      </w:r>
      <w:r w:rsidR="008626EA">
        <w:rPr>
          <w:rFonts w:cstheme="minorHAnsi"/>
          <w:bCs/>
          <w:sz w:val="26"/>
          <w:szCs w:val="26"/>
        </w:rPr>
        <w:t xml:space="preserve">sector </w:t>
      </w:r>
      <w:r w:rsidR="00FB74C9">
        <w:rPr>
          <w:rFonts w:cstheme="minorHAnsi"/>
          <w:bCs/>
          <w:sz w:val="26"/>
          <w:szCs w:val="26"/>
        </w:rPr>
        <w:t xml:space="preserve">job </w:t>
      </w:r>
      <w:r w:rsidR="008626EA">
        <w:rPr>
          <w:rFonts w:cstheme="minorHAnsi"/>
          <w:bCs/>
          <w:sz w:val="26"/>
          <w:szCs w:val="26"/>
        </w:rPr>
        <w:t xml:space="preserve">at the same time.  </w:t>
      </w:r>
      <w:r w:rsidR="00735365">
        <w:rPr>
          <w:rFonts w:cstheme="minorHAnsi"/>
          <w:bCs/>
          <w:sz w:val="26"/>
          <w:szCs w:val="26"/>
        </w:rPr>
        <w:t>You</w:t>
      </w:r>
      <w:r w:rsidR="008626EA">
        <w:rPr>
          <w:rFonts w:cstheme="minorHAnsi"/>
          <w:bCs/>
          <w:sz w:val="26"/>
          <w:szCs w:val="26"/>
        </w:rPr>
        <w:t xml:space="preserve"> may even </w:t>
      </w:r>
      <w:r w:rsidR="00735365">
        <w:rPr>
          <w:rFonts w:cstheme="minorHAnsi"/>
          <w:bCs/>
          <w:sz w:val="26"/>
          <w:szCs w:val="26"/>
        </w:rPr>
        <w:t xml:space="preserve">find </w:t>
      </w:r>
      <w:r w:rsidR="008626EA">
        <w:rPr>
          <w:rFonts w:cstheme="minorHAnsi"/>
          <w:bCs/>
          <w:sz w:val="26"/>
          <w:szCs w:val="26"/>
        </w:rPr>
        <w:t xml:space="preserve">work you can do </w:t>
      </w:r>
      <w:r w:rsidR="00FB74C9">
        <w:rPr>
          <w:rFonts w:cstheme="minorHAnsi"/>
          <w:bCs/>
          <w:sz w:val="26"/>
          <w:szCs w:val="26"/>
        </w:rPr>
        <w:t>from</w:t>
      </w:r>
      <w:r w:rsidR="008626EA">
        <w:rPr>
          <w:rFonts w:cstheme="minorHAnsi"/>
          <w:bCs/>
          <w:sz w:val="26"/>
          <w:szCs w:val="26"/>
        </w:rPr>
        <w:t xml:space="preserve"> home!</w:t>
      </w:r>
      <w:r>
        <w:rPr>
          <w:rFonts w:cstheme="minorHAnsi"/>
          <w:bCs/>
          <w:sz w:val="26"/>
          <w:szCs w:val="26"/>
        </w:rPr>
        <w:t xml:space="preserve"> </w:t>
      </w:r>
    </w:p>
    <w:p w14:paraId="394BAE91" w14:textId="03C3032C" w:rsidR="00735365" w:rsidRPr="00C609E5" w:rsidRDefault="00735365" w:rsidP="00735365">
      <w:pPr>
        <w:jc w:val="both"/>
        <w:rPr>
          <w:rFonts w:cstheme="minorHAnsi"/>
          <w:bCs/>
          <w:sz w:val="26"/>
          <w:szCs w:val="26"/>
        </w:rPr>
      </w:pPr>
      <w:r>
        <w:rPr>
          <w:rFonts w:cstheme="minorHAnsi"/>
          <w:bCs/>
          <w:sz w:val="26"/>
          <w:szCs w:val="26"/>
        </w:rPr>
        <w:t>You can also contact your professional staff, who can reach out to management on your behalf and see if the</w:t>
      </w:r>
      <w:r w:rsidR="00522D9B">
        <w:rPr>
          <w:rFonts w:cstheme="minorHAnsi"/>
          <w:bCs/>
          <w:sz w:val="26"/>
          <w:szCs w:val="26"/>
        </w:rPr>
        <w:t xml:space="preserve"> Agenc</w:t>
      </w:r>
      <w:r>
        <w:rPr>
          <w:rFonts w:cstheme="minorHAnsi"/>
          <w:bCs/>
          <w:sz w:val="26"/>
          <w:szCs w:val="26"/>
        </w:rPr>
        <w:t xml:space="preserve">y would allow you to use your own leave time until your retirement date.  They probably </w:t>
      </w:r>
      <w:r w:rsidR="00522D9B">
        <w:rPr>
          <w:rFonts w:cstheme="minorHAnsi"/>
          <w:bCs/>
          <w:sz w:val="26"/>
          <w:szCs w:val="26"/>
        </w:rPr>
        <w:t>will not</w:t>
      </w:r>
      <w:r>
        <w:rPr>
          <w:rFonts w:cstheme="minorHAnsi"/>
          <w:bCs/>
          <w:sz w:val="26"/>
          <w:szCs w:val="26"/>
        </w:rPr>
        <w:t xml:space="preserve"> agree to two years, but they may agree to 90 days, which should be enough time for the pension fund to process your retirement paperwork.  This could avoid any gap in your income. </w:t>
      </w:r>
    </w:p>
    <w:p w14:paraId="75972F7F" w14:textId="675669C6" w:rsidR="00735365" w:rsidRDefault="00CE646D" w:rsidP="00EF27C6">
      <w:pPr>
        <w:jc w:val="both"/>
        <w:rPr>
          <w:rFonts w:cstheme="minorHAnsi"/>
          <w:bCs/>
          <w:sz w:val="26"/>
          <w:szCs w:val="26"/>
        </w:rPr>
      </w:pPr>
      <w:r>
        <w:rPr>
          <w:rFonts w:cstheme="minorHAnsi"/>
          <w:bCs/>
          <w:sz w:val="26"/>
          <w:szCs w:val="26"/>
        </w:rPr>
        <w:t>Also</w:t>
      </w:r>
      <w:r w:rsidR="008626EA">
        <w:rPr>
          <w:rFonts w:cstheme="minorHAnsi"/>
          <w:bCs/>
          <w:sz w:val="26"/>
          <w:szCs w:val="26"/>
        </w:rPr>
        <w:t xml:space="preserve"> consider getting a doctor’s note that directs you to work from home.  The Agency must reasonably accommodate your me</w:t>
      </w:r>
      <w:r w:rsidR="00C609E5" w:rsidRPr="00C609E5">
        <w:rPr>
          <w:rFonts w:cstheme="minorHAnsi"/>
          <w:bCs/>
          <w:sz w:val="26"/>
          <w:szCs w:val="26"/>
        </w:rPr>
        <w:t xml:space="preserve">dical </w:t>
      </w:r>
      <w:r w:rsidR="008626EA">
        <w:rPr>
          <w:rFonts w:cstheme="minorHAnsi"/>
          <w:bCs/>
          <w:sz w:val="26"/>
          <w:szCs w:val="26"/>
        </w:rPr>
        <w:t>condition</w:t>
      </w:r>
      <w:r w:rsidR="00735365">
        <w:rPr>
          <w:rFonts w:cstheme="minorHAnsi"/>
          <w:bCs/>
          <w:sz w:val="26"/>
          <w:szCs w:val="26"/>
        </w:rPr>
        <w:t>.</w:t>
      </w:r>
      <w:r w:rsidR="008626EA">
        <w:rPr>
          <w:rFonts w:cstheme="minorHAnsi"/>
          <w:bCs/>
          <w:sz w:val="26"/>
          <w:szCs w:val="26"/>
        </w:rPr>
        <w:t xml:space="preserve"> </w:t>
      </w:r>
      <w:r w:rsidR="00735365">
        <w:rPr>
          <w:rFonts w:cstheme="minorHAnsi"/>
          <w:bCs/>
          <w:sz w:val="26"/>
          <w:szCs w:val="26"/>
        </w:rPr>
        <w:t xml:space="preserve"> T</w:t>
      </w:r>
      <w:r w:rsidR="008626EA">
        <w:rPr>
          <w:rFonts w:cstheme="minorHAnsi"/>
          <w:bCs/>
          <w:sz w:val="26"/>
          <w:szCs w:val="26"/>
        </w:rPr>
        <w:t xml:space="preserve">hat </w:t>
      </w:r>
      <w:r w:rsidR="008626EA" w:rsidRPr="00522D9B">
        <w:rPr>
          <w:rFonts w:cstheme="minorHAnsi"/>
          <w:bCs/>
          <w:i/>
          <w:iCs/>
          <w:sz w:val="26"/>
          <w:szCs w:val="26"/>
        </w:rPr>
        <w:t>may</w:t>
      </w:r>
      <w:r w:rsidR="008626EA">
        <w:rPr>
          <w:rFonts w:cstheme="minorHAnsi"/>
          <w:bCs/>
          <w:sz w:val="26"/>
          <w:szCs w:val="26"/>
        </w:rPr>
        <w:t xml:space="preserve"> mean </w:t>
      </w:r>
      <w:r w:rsidR="00735365">
        <w:rPr>
          <w:rFonts w:cstheme="minorHAnsi"/>
          <w:bCs/>
          <w:sz w:val="26"/>
          <w:szCs w:val="26"/>
        </w:rPr>
        <w:t>providing</w:t>
      </w:r>
      <w:r w:rsidR="008626EA">
        <w:rPr>
          <w:rFonts w:cstheme="minorHAnsi"/>
          <w:bCs/>
          <w:sz w:val="26"/>
          <w:szCs w:val="26"/>
        </w:rPr>
        <w:t xml:space="preserve"> telework until </w:t>
      </w:r>
      <w:r w:rsidR="00522D9B">
        <w:rPr>
          <w:rFonts w:cstheme="minorHAnsi"/>
          <w:bCs/>
          <w:sz w:val="26"/>
          <w:szCs w:val="26"/>
        </w:rPr>
        <w:t>it is</w:t>
      </w:r>
      <w:r w:rsidR="008626EA">
        <w:rPr>
          <w:rFonts w:cstheme="minorHAnsi"/>
          <w:bCs/>
          <w:sz w:val="26"/>
          <w:szCs w:val="26"/>
        </w:rPr>
        <w:t xml:space="preserve"> safe for you to come back to work</w:t>
      </w:r>
      <w:r w:rsidR="00ED79D1" w:rsidRPr="00ED79D1">
        <w:rPr>
          <w:rFonts w:cstheme="minorHAnsi"/>
          <w:bCs/>
          <w:sz w:val="26"/>
          <w:szCs w:val="26"/>
        </w:rPr>
        <w:t xml:space="preserve"> </w:t>
      </w:r>
      <w:r w:rsidR="00ED79D1">
        <w:rPr>
          <w:rFonts w:cstheme="minorHAnsi"/>
          <w:bCs/>
          <w:sz w:val="26"/>
          <w:szCs w:val="26"/>
        </w:rPr>
        <w:t>physically</w:t>
      </w:r>
      <w:r w:rsidR="008626EA">
        <w:rPr>
          <w:rFonts w:cstheme="minorHAnsi"/>
          <w:bCs/>
          <w:sz w:val="26"/>
          <w:szCs w:val="26"/>
        </w:rPr>
        <w:t xml:space="preserve">.  </w:t>
      </w:r>
    </w:p>
    <w:p w14:paraId="5BBE182A" w14:textId="61D77F92" w:rsidR="00EF27C6" w:rsidRPr="004803A4" w:rsidRDefault="00EF27C6" w:rsidP="00EF27C6">
      <w:pPr>
        <w:jc w:val="both"/>
        <w:rPr>
          <w:rFonts w:cstheme="minorHAnsi"/>
          <w:b/>
          <w:sz w:val="26"/>
          <w:szCs w:val="26"/>
        </w:rPr>
      </w:pPr>
      <w:r w:rsidRPr="004803A4">
        <w:rPr>
          <w:rFonts w:cstheme="minorHAnsi"/>
          <w:b/>
          <w:sz w:val="26"/>
          <w:szCs w:val="26"/>
        </w:rPr>
        <w:t xml:space="preserve">Question:  </w:t>
      </w:r>
      <w:r>
        <w:rPr>
          <w:rFonts w:cstheme="minorHAnsi"/>
          <w:b/>
          <w:sz w:val="26"/>
          <w:szCs w:val="26"/>
        </w:rPr>
        <w:t xml:space="preserve">Management is proposing “City-wide” furloughs due to the budget impacts of COVID-19.  The only problem is that it is not City-wide.  There is a big exemption for public safety, particularly </w:t>
      </w:r>
      <w:r>
        <w:rPr>
          <w:rFonts w:cstheme="minorHAnsi"/>
          <w:b/>
          <w:sz w:val="26"/>
          <w:szCs w:val="26"/>
        </w:rPr>
        <w:lastRenderedPageBreak/>
        <w:t>the police officers.  A lot of us feel this exemption is because public safety unions are large contributors to elected officials’ campaigns.  I know that I speak for a large group of City employees when I say it is disappointing that public safety is exempt from budget cuts</w:t>
      </w:r>
      <w:r w:rsidR="00E773B4">
        <w:rPr>
          <w:rFonts w:cstheme="minorHAnsi"/>
          <w:b/>
          <w:sz w:val="26"/>
          <w:szCs w:val="26"/>
        </w:rPr>
        <w:t xml:space="preserve">, especially </w:t>
      </w:r>
      <w:r>
        <w:rPr>
          <w:rFonts w:cstheme="minorHAnsi"/>
          <w:b/>
          <w:sz w:val="26"/>
          <w:szCs w:val="26"/>
        </w:rPr>
        <w:t xml:space="preserve">since my colleagues and I are paid out of enterprise funds.  Our furlough will not save the general fund any money.  </w:t>
      </w:r>
      <w:r w:rsidR="00E773B4">
        <w:rPr>
          <w:rFonts w:cstheme="minorHAnsi"/>
          <w:b/>
          <w:sz w:val="26"/>
          <w:szCs w:val="26"/>
        </w:rPr>
        <w:t>And n</w:t>
      </w:r>
      <w:r>
        <w:rPr>
          <w:rFonts w:cstheme="minorHAnsi"/>
          <w:b/>
          <w:sz w:val="26"/>
          <w:szCs w:val="26"/>
        </w:rPr>
        <w:t xml:space="preserve">ot furloughing the Officers will cost the general fund even more money.  This seems backwards.  </w:t>
      </w:r>
      <w:r w:rsidR="00E773B4">
        <w:rPr>
          <w:rFonts w:cstheme="minorHAnsi"/>
          <w:b/>
          <w:sz w:val="26"/>
          <w:szCs w:val="26"/>
        </w:rPr>
        <w:t>W</w:t>
      </w:r>
      <w:r>
        <w:rPr>
          <w:rFonts w:cstheme="minorHAnsi"/>
          <w:b/>
          <w:sz w:val="26"/>
          <w:szCs w:val="26"/>
        </w:rPr>
        <w:t xml:space="preserve">e must be able to do something.  </w:t>
      </w:r>
    </w:p>
    <w:p w14:paraId="5383EBBD" w14:textId="472D12EB" w:rsidR="005F2375" w:rsidRDefault="00EF27C6" w:rsidP="005F2375">
      <w:pPr>
        <w:jc w:val="both"/>
        <w:rPr>
          <w:rFonts w:cstheme="minorHAnsi"/>
          <w:bCs/>
          <w:sz w:val="26"/>
          <w:szCs w:val="26"/>
        </w:rPr>
      </w:pPr>
      <w:r w:rsidRPr="004803A4">
        <w:rPr>
          <w:rFonts w:cstheme="minorHAnsi"/>
          <w:b/>
          <w:sz w:val="26"/>
          <w:szCs w:val="26"/>
        </w:rPr>
        <w:t xml:space="preserve">Answer:  </w:t>
      </w:r>
      <w:r w:rsidR="005F2375">
        <w:rPr>
          <w:rFonts w:cstheme="minorHAnsi"/>
          <w:bCs/>
          <w:sz w:val="26"/>
          <w:szCs w:val="26"/>
        </w:rPr>
        <w:t>Police unions do spend a lot of money on elections for local City Council candidates</w:t>
      </w:r>
      <w:r w:rsidR="00ED79D1">
        <w:rPr>
          <w:rFonts w:cstheme="minorHAnsi"/>
          <w:bCs/>
          <w:sz w:val="26"/>
          <w:szCs w:val="26"/>
        </w:rPr>
        <w:t xml:space="preserve">.  Still, </w:t>
      </w:r>
      <w:r w:rsidR="005F2375">
        <w:rPr>
          <w:rFonts w:cstheme="minorHAnsi"/>
          <w:bCs/>
          <w:sz w:val="26"/>
          <w:szCs w:val="26"/>
        </w:rPr>
        <w:t xml:space="preserve">it is largely a myth that they enjoy </w:t>
      </w:r>
      <w:r w:rsidR="00F159BA">
        <w:rPr>
          <w:rFonts w:cstheme="minorHAnsi"/>
          <w:bCs/>
          <w:sz w:val="26"/>
          <w:szCs w:val="26"/>
        </w:rPr>
        <w:t>“</w:t>
      </w:r>
      <w:r w:rsidR="005F2375">
        <w:rPr>
          <w:rFonts w:cstheme="minorHAnsi"/>
          <w:bCs/>
          <w:sz w:val="26"/>
          <w:szCs w:val="26"/>
        </w:rPr>
        <w:t>immunity</w:t>
      </w:r>
      <w:r w:rsidR="00F159BA">
        <w:rPr>
          <w:rFonts w:cstheme="minorHAnsi"/>
          <w:bCs/>
          <w:sz w:val="26"/>
          <w:szCs w:val="26"/>
        </w:rPr>
        <w:t>”</w:t>
      </w:r>
      <w:r w:rsidR="005F2375">
        <w:rPr>
          <w:rFonts w:cstheme="minorHAnsi"/>
          <w:bCs/>
          <w:sz w:val="26"/>
          <w:szCs w:val="26"/>
        </w:rPr>
        <w:t xml:space="preserve"> from budget cuts because of the</w:t>
      </w:r>
      <w:r w:rsidR="00F159BA">
        <w:rPr>
          <w:rFonts w:cstheme="minorHAnsi"/>
          <w:bCs/>
          <w:sz w:val="26"/>
          <w:szCs w:val="26"/>
        </w:rPr>
        <w:t>ir</w:t>
      </w:r>
      <w:r w:rsidR="005F2375">
        <w:rPr>
          <w:rFonts w:cstheme="minorHAnsi"/>
          <w:bCs/>
          <w:sz w:val="26"/>
          <w:szCs w:val="26"/>
        </w:rPr>
        <w:t xml:space="preserve"> campaign contributions.  </w:t>
      </w:r>
      <w:r w:rsidR="00EE0A67">
        <w:rPr>
          <w:rFonts w:cstheme="minorHAnsi"/>
          <w:bCs/>
          <w:sz w:val="26"/>
          <w:szCs w:val="26"/>
        </w:rPr>
        <w:t>They may be last in line to get cut, but t</w:t>
      </w:r>
      <w:r w:rsidR="00F159BA">
        <w:rPr>
          <w:rFonts w:cstheme="minorHAnsi"/>
          <w:bCs/>
          <w:sz w:val="26"/>
          <w:szCs w:val="26"/>
        </w:rPr>
        <w:t xml:space="preserve">hey </w:t>
      </w:r>
      <w:r w:rsidR="00361755">
        <w:rPr>
          <w:rFonts w:cstheme="minorHAnsi"/>
          <w:bCs/>
          <w:sz w:val="26"/>
          <w:szCs w:val="26"/>
        </w:rPr>
        <w:t xml:space="preserve">are </w:t>
      </w:r>
      <w:r w:rsidR="009965C4">
        <w:rPr>
          <w:rFonts w:cstheme="minorHAnsi"/>
          <w:bCs/>
          <w:sz w:val="26"/>
          <w:szCs w:val="26"/>
        </w:rPr>
        <w:t xml:space="preserve">still </w:t>
      </w:r>
      <w:r w:rsidR="00361755">
        <w:rPr>
          <w:rFonts w:cstheme="minorHAnsi"/>
          <w:bCs/>
          <w:sz w:val="26"/>
          <w:szCs w:val="26"/>
        </w:rPr>
        <w:t>dependent</w:t>
      </w:r>
      <w:r w:rsidR="00F159BA">
        <w:rPr>
          <w:rFonts w:cstheme="minorHAnsi"/>
          <w:bCs/>
          <w:sz w:val="26"/>
          <w:szCs w:val="26"/>
        </w:rPr>
        <w:t xml:space="preserve"> on the City’s revenue, just like other </w:t>
      </w:r>
      <w:r w:rsidR="00361755">
        <w:rPr>
          <w:rFonts w:cstheme="minorHAnsi"/>
          <w:bCs/>
          <w:sz w:val="26"/>
          <w:szCs w:val="26"/>
        </w:rPr>
        <w:t xml:space="preserve">City </w:t>
      </w:r>
      <w:r w:rsidR="00F159BA">
        <w:rPr>
          <w:rFonts w:cstheme="minorHAnsi"/>
          <w:bCs/>
          <w:sz w:val="26"/>
          <w:szCs w:val="26"/>
        </w:rPr>
        <w:t>employees</w:t>
      </w:r>
      <w:r w:rsidR="00361755">
        <w:rPr>
          <w:rFonts w:cstheme="minorHAnsi"/>
          <w:bCs/>
          <w:sz w:val="26"/>
          <w:szCs w:val="26"/>
        </w:rPr>
        <w:t>.</w:t>
      </w:r>
      <w:r w:rsidR="00F159BA">
        <w:rPr>
          <w:rFonts w:cstheme="minorHAnsi"/>
          <w:bCs/>
          <w:sz w:val="26"/>
          <w:szCs w:val="26"/>
        </w:rPr>
        <w:t xml:space="preserve"> </w:t>
      </w:r>
      <w:r w:rsidR="00361755">
        <w:rPr>
          <w:rFonts w:cstheme="minorHAnsi"/>
          <w:bCs/>
          <w:sz w:val="26"/>
          <w:szCs w:val="26"/>
        </w:rPr>
        <w:t xml:space="preserve"> </w:t>
      </w:r>
      <w:r w:rsidR="00EE0A67">
        <w:rPr>
          <w:rFonts w:cstheme="minorHAnsi"/>
          <w:bCs/>
          <w:sz w:val="26"/>
          <w:szCs w:val="26"/>
        </w:rPr>
        <w:t xml:space="preserve">Public safety is </w:t>
      </w:r>
      <w:r w:rsidR="00ED79D1">
        <w:rPr>
          <w:rFonts w:cstheme="minorHAnsi"/>
          <w:bCs/>
          <w:sz w:val="26"/>
          <w:szCs w:val="26"/>
        </w:rPr>
        <w:t xml:space="preserve">often </w:t>
      </w:r>
      <w:r w:rsidR="00EE0A67">
        <w:rPr>
          <w:rFonts w:cstheme="minorHAnsi"/>
          <w:bCs/>
          <w:sz w:val="26"/>
          <w:szCs w:val="26"/>
        </w:rPr>
        <w:t xml:space="preserve">a city’s </w:t>
      </w:r>
      <w:r w:rsidR="009965C4">
        <w:rPr>
          <w:rFonts w:cstheme="minorHAnsi"/>
          <w:bCs/>
          <w:sz w:val="26"/>
          <w:szCs w:val="26"/>
        </w:rPr>
        <w:t>largest</w:t>
      </w:r>
      <w:r w:rsidR="00F159BA">
        <w:rPr>
          <w:rFonts w:cstheme="minorHAnsi"/>
          <w:bCs/>
          <w:sz w:val="26"/>
          <w:szCs w:val="26"/>
        </w:rPr>
        <w:t xml:space="preserve"> cost – especially to the general fund, </w:t>
      </w:r>
      <w:r w:rsidR="00361755">
        <w:rPr>
          <w:rFonts w:cstheme="minorHAnsi"/>
          <w:bCs/>
          <w:sz w:val="26"/>
          <w:szCs w:val="26"/>
        </w:rPr>
        <w:t>which usually suffers from the biggest financial hit in a recession</w:t>
      </w:r>
      <w:r w:rsidR="00F159BA">
        <w:rPr>
          <w:rFonts w:cstheme="minorHAnsi"/>
          <w:bCs/>
          <w:sz w:val="26"/>
          <w:szCs w:val="26"/>
        </w:rPr>
        <w:t xml:space="preserve">.  </w:t>
      </w:r>
      <w:r w:rsidR="00ED79D1">
        <w:rPr>
          <w:rFonts w:cstheme="minorHAnsi"/>
          <w:bCs/>
          <w:sz w:val="26"/>
          <w:szCs w:val="26"/>
        </w:rPr>
        <w:t>I</w:t>
      </w:r>
      <w:r w:rsidR="005F2375">
        <w:rPr>
          <w:rFonts w:cstheme="minorHAnsi"/>
          <w:bCs/>
          <w:sz w:val="26"/>
          <w:szCs w:val="26"/>
        </w:rPr>
        <w:t xml:space="preserve">n many </w:t>
      </w:r>
      <w:r w:rsidR="00F159BA">
        <w:rPr>
          <w:rFonts w:cstheme="minorHAnsi"/>
          <w:bCs/>
          <w:sz w:val="26"/>
          <w:szCs w:val="26"/>
        </w:rPr>
        <w:t>cities,</w:t>
      </w:r>
      <w:r w:rsidR="005F2375">
        <w:rPr>
          <w:rFonts w:cstheme="minorHAnsi"/>
          <w:bCs/>
          <w:sz w:val="26"/>
          <w:szCs w:val="26"/>
        </w:rPr>
        <w:t xml:space="preserve"> </w:t>
      </w:r>
      <w:r w:rsidR="00F159BA">
        <w:rPr>
          <w:rFonts w:cstheme="minorHAnsi"/>
          <w:bCs/>
          <w:sz w:val="26"/>
          <w:szCs w:val="26"/>
        </w:rPr>
        <w:t xml:space="preserve">any </w:t>
      </w:r>
      <w:r w:rsidR="00361755">
        <w:rPr>
          <w:rFonts w:cstheme="minorHAnsi"/>
          <w:bCs/>
          <w:sz w:val="26"/>
          <w:szCs w:val="26"/>
        </w:rPr>
        <w:t>“</w:t>
      </w:r>
      <w:r w:rsidR="00F159BA">
        <w:rPr>
          <w:rFonts w:cstheme="minorHAnsi"/>
          <w:bCs/>
          <w:sz w:val="26"/>
          <w:szCs w:val="26"/>
        </w:rPr>
        <w:t>privileged</w:t>
      </w:r>
      <w:r w:rsidR="00361755">
        <w:rPr>
          <w:rFonts w:cstheme="minorHAnsi"/>
          <w:bCs/>
          <w:sz w:val="26"/>
          <w:szCs w:val="26"/>
        </w:rPr>
        <w:t>”</w:t>
      </w:r>
      <w:r w:rsidR="00F159BA">
        <w:rPr>
          <w:rFonts w:cstheme="minorHAnsi"/>
          <w:bCs/>
          <w:sz w:val="26"/>
          <w:szCs w:val="26"/>
        </w:rPr>
        <w:t xml:space="preserve"> status is often more reflective of the fact that the community supports funding </w:t>
      </w:r>
      <w:r w:rsidR="00361755">
        <w:rPr>
          <w:rFonts w:cstheme="minorHAnsi"/>
          <w:bCs/>
          <w:sz w:val="26"/>
          <w:szCs w:val="26"/>
        </w:rPr>
        <w:t>f</w:t>
      </w:r>
      <w:r w:rsidR="00F159BA">
        <w:rPr>
          <w:rFonts w:cstheme="minorHAnsi"/>
          <w:bCs/>
          <w:sz w:val="26"/>
          <w:szCs w:val="26"/>
        </w:rPr>
        <w:t>o</w:t>
      </w:r>
      <w:r w:rsidR="00361755">
        <w:rPr>
          <w:rFonts w:cstheme="minorHAnsi"/>
          <w:bCs/>
          <w:sz w:val="26"/>
          <w:szCs w:val="26"/>
        </w:rPr>
        <w:t>r</w:t>
      </w:r>
      <w:r w:rsidR="00F159BA">
        <w:rPr>
          <w:rFonts w:cstheme="minorHAnsi"/>
          <w:bCs/>
          <w:sz w:val="26"/>
          <w:szCs w:val="26"/>
        </w:rPr>
        <w:t xml:space="preserve"> public safety.  </w:t>
      </w:r>
      <w:r w:rsidR="00361755">
        <w:rPr>
          <w:rFonts w:cstheme="minorHAnsi"/>
          <w:bCs/>
          <w:sz w:val="26"/>
          <w:szCs w:val="26"/>
        </w:rPr>
        <w:t xml:space="preserve">That </w:t>
      </w:r>
      <w:r w:rsidR="009965C4">
        <w:rPr>
          <w:rFonts w:cstheme="minorHAnsi"/>
          <w:bCs/>
          <w:sz w:val="26"/>
          <w:szCs w:val="26"/>
        </w:rPr>
        <w:t xml:space="preserve">view </w:t>
      </w:r>
      <w:r w:rsidR="00361755">
        <w:rPr>
          <w:rFonts w:cstheme="minorHAnsi"/>
          <w:bCs/>
          <w:sz w:val="26"/>
          <w:szCs w:val="26"/>
        </w:rPr>
        <w:t>might be changing.  Regardless, Police Department spending should be looked at for cost-savings just like any other City Department.</w:t>
      </w:r>
    </w:p>
    <w:p w14:paraId="763BC562" w14:textId="154F7138" w:rsidR="007C532A" w:rsidRDefault="00E773B4" w:rsidP="00EF27C6">
      <w:pPr>
        <w:jc w:val="both"/>
        <w:rPr>
          <w:rFonts w:cstheme="minorHAnsi"/>
          <w:bCs/>
          <w:sz w:val="26"/>
          <w:szCs w:val="26"/>
        </w:rPr>
      </w:pPr>
      <w:r w:rsidRPr="00E773B4">
        <w:rPr>
          <w:rFonts w:cstheme="minorHAnsi"/>
          <w:bCs/>
          <w:sz w:val="26"/>
          <w:szCs w:val="26"/>
        </w:rPr>
        <w:t>P</w:t>
      </w:r>
      <w:r w:rsidR="00C609E5" w:rsidRPr="00C609E5">
        <w:rPr>
          <w:rFonts w:cstheme="minorHAnsi"/>
          <w:bCs/>
          <w:sz w:val="26"/>
          <w:szCs w:val="26"/>
        </w:rPr>
        <w:t xml:space="preserve">olice officers </w:t>
      </w:r>
      <w:r>
        <w:rPr>
          <w:rFonts w:cstheme="minorHAnsi"/>
          <w:bCs/>
          <w:sz w:val="26"/>
          <w:szCs w:val="26"/>
        </w:rPr>
        <w:t xml:space="preserve">are often exempt </w:t>
      </w:r>
      <w:r w:rsidR="00C609E5" w:rsidRPr="00C609E5">
        <w:rPr>
          <w:rFonts w:cstheme="minorHAnsi"/>
          <w:bCs/>
          <w:sz w:val="26"/>
          <w:szCs w:val="26"/>
        </w:rPr>
        <w:t>from furloughs</w:t>
      </w:r>
      <w:r w:rsidR="009965C4">
        <w:rPr>
          <w:rFonts w:cstheme="minorHAnsi"/>
          <w:bCs/>
          <w:sz w:val="26"/>
          <w:szCs w:val="26"/>
        </w:rPr>
        <w:t xml:space="preserve"> specifically</w:t>
      </w:r>
      <w:r w:rsidR="00361755">
        <w:rPr>
          <w:rFonts w:cstheme="minorHAnsi"/>
          <w:bCs/>
          <w:sz w:val="26"/>
          <w:szCs w:val="26"/>
        </w:rPr>
        <w:t>, though</w:t>
      </w:r>
      <w:r w:rsidR="00C609E5" w:rsidRPr="00C609E5">
        <w:rPr>
          <w:rFonts w:cstheme="minorHAnsi"/>
          <w:bCs/>
          <w:sz w:val="26"/>
          <w:szCs w:val="26"/>
        </w:rPr>
        <w:t xml:space="preserve">.  </w:t>
      </w:r>
      <w:r w:rsidR="00C16F25">
        <w:rPr>
          <w:rFonts w:cstheme="minorHAnsi"/>
          <w:bCs/>
          <w:sz w:val="26"/>
          <w:szCs w:val="26"/>
        </w:rPr>
        <w:t>They</w:t>
      </w:r>
      <w:r>
        <w:rPr>
          <w:rFonts w:cstheme="minorHAnsi"/>
          <w:bCs/>
          <w:sz w:val="26"/>
          <w:szCs w:val="26"/>
        </w:rPr>
        <w:t xml:space="preserve"> have minimum staffing requirements </w:t>
      </w:r>
      <w:r w:rsidR="003051BD">
        <w:rPr>
          <w:rFonts w:cstheme="minorHAnsi"/>
          <w:bCs/>
          <w:sz w:val="26"/>
          <w:szCs w:val="26"/>
        </w:rPr>
        <w:t xml:space="preserve">set by </w:t>
      </w:r>
      <w:r w:rsidR="003051BD">
        <w:rPr>
          <w:rFonts w:cstheme="minorHAnsi"/>
          <w:bCs/>
          <w:sz w:val="26"/>
          <w:szCs w:val="26"/>
        </w:rPr>
        <w:t>law which m</w:t>
      </w:r>
      <w:r>
        <w:rPr>
          <w:rFonts w:cstheme="minorHAnsi"/>
          <w:bCs/>
          <w:sz w:val="26"/>
          <w:szCs w:val="26"/>
        </w:rPr>
        <w:t xml:space="preserve">ake it hard to realize cost-savings from a furlough.  For example, a furlough may cause </w:t>
      </w:r>
      <w:r w:rsidR="00C609E5" w:rsidRPr="00C609E5">
        <w:rPr>
          <w:rFonts w:cstheme="minorHAnsi"/>
          <w:bCs/>
          <w:sz w:val="26"/>
          <w:szCs w:val="26"/>
        </w:rPr>
        <w:t>an</w:t>
      </w:r>
      <w:r>
        <w:rPr>
          <w:rFonts w:cstheme="minorHAnsi"/>
          <w:bCs/>
          <w:sz w:val="26"/>
          <w:szCs w:val="26"/>
        </w:rPr>
        <w:t>other</w:t>
      </w:r>
      <w:r w:rsidR="00C609E5" w:rsidRPr="00C609E5">
        <w:rPr>
          <w:rFonts w:cstheme="minorHAnsi"/>
          <w:bCs/>
          <w:sz w:val="26"/>
          <w:szCs w:val="26"/>
        </w:rPr>
        <w:t xml:space="preserve"> officer </w:t>
      </w:r>
      <w:r>
        <w:rPr>
          <w:rFonts w:cstheme="minorHAnsi"/>
          <w:bCs/>
          <w:sz w:val="26"/>
          <w:szCs w:val="26"/>
        </w:rPr>
        <w:t xml:space="preserve">to work overtime to cover a part of </w:t>
      </w:r>
      <w:r w:rsidR="009965C4">
        <w:rPr>
          <w:rFonts w:cstheme="minorHAnsi"/>
          <w:bCs/>
          <w:sz w:val="26"/>
          <w:szCs w:val="26"/>
        </w:rPr>
        <w:t>another’s</w:t>
      </w:r>
      <w:r>
        <w:rPr>
          <w:rFonts w:cstheme="minorHAnsi"/>
          <w:bCs/>
          <w:sz w:val="26"/>
          <w:szCs w:val="26"/>
        </w:rPr>
        <w:t xml:space="preserve"> shift.  The </w:t>
      </w:r>
      <w:r w:rsidR="00C638D9">
        <w:rPr>
          <w:rFonts w:cstheme="minorHAnsi"/>
          <w:bCs/>
          <w:sz w:val="26"/>
          <w:szCs w:val="26"/>
        </w:rPr>
        <w:t xml:space="preserve">resulting </w:t>
      </w:r>
      <w:r>
        <w:rPr>
          <w:rFonts w:cstheme="minorHAnsi"/>
          <w:bCs/>
          <w:sz w:val="26"/>
          <w:szCs w:val="26"/>
        </w:rPr>
        <w:t xml:space="preserve">overtime </w:t>
      </w:r>
      <w:r w:rsidR="003A3B57">
        <w:rPr>
          <w:rFonts w:cstheme="minorHAnsi"/>
          <w:bCs/>
          <w:sz w:val="26"/>
          <w:szCs w:val="26"/>
        </w:rPr>
        <w:t xml:space="preserve">could </w:t>
      </w:r>
      <w:r>
        <w:rPr>
          <w:rFonts w:cstheme="minorHAnsi"/>
          <w:bCs/>
          <w:sz w:val="26"/>
          <w:szCs w:val="26"/>
        </w:rPr>
        <w:t xml:space="preserve">cost </w:t>
      </w:r>
      <w:r w:rsidR="003A3B57">
        <w:rPr>
          <w:rFonts w:cstheme="minorHAnsi"/>
          <w:bCs/>
          <w:sz w:val="26"/>
          <w:szCs w:val="26"/>
        </w:rPr>
        <w:t xml:space="preserve">the City </w:t>
      </w:r>
      <w:r>
        <w:rPr>
          <w:rFonts w:cstheme="minorHAnsi"/>
          <w:bCs/>
          <w:sz w:val="26"/>
          <w:szCs w:val="26"/>
        </w:rPr>
        <w:t>more money tha</w:t>
      </w:r>
      <w:r w:rsidR="003A3B57">
        <w:rPr>
          <w:rFonts w:cstheme="minorHAnsi"/>
          <w:bCs/>
          <w:sz w:val="26"/>
          <w:szCs w:val="26"/>
        </w:rPr>
        <w:t>n</w:t>
      </w:r>
      <w:r>
        <w:rPr>
          <w:rFonts w:cstheme="minorHAnsi"/>
          <w:bCs/>
          <w:sz w:val="26"/>
          <w:szCs w:val="26"/>
        </w:rPr>
        <w:t xml:space="preserve"> </w:t>
      </w:r>
      <w:r w:rsidR="00361755">
        <w:rPr>
          <w:rFonts w:cstheme="minorHAnsi"/>
          <w:bCs/>
          <w:sz w:val="26"/>
          <w:szCs w:val="26"/>
        </w:rPr>
        <w:t xml:space="preserve">any </w:t>
      </w:r>
      <w:r w:rsidR="00C638D9">
        <w:rPr>
          <w:rFonts w:cstheme="minorHAnsi"/>
          <w:bCs/>
          <w:sz w:val="26"/>
          <w:szCs w:val="26"/>
        </w:rPr>
        <w:t xml:space="preserve">furlough </w:t>
      </w:r>
      <w:r w:rsidR="00361755">
        <w:rPr>
          <w:rFonts w:cstheme="minorHAnsi"/>
          <w:bCs/>
          <w:sz w:val="26"/>
          <w:szCs w:val="26"/>
        </w:rPr>
        <w:t>savings</w:t>
      </w:r>
      <w:r>
        <w:rPr>
          <w:rFonts w:cstheme="minorHAnsi"/>
          <w:bCs/>
          <w:sz w:val="26"/>
          <w:szCs w:val="26"/>
        </w:rPr>
        <w:t>.</w:t>
      </w:r>
      <w:r w:rsidR="0031030E">
        <w:rPr>
          <w:rFonts w:cstheme="minorHAnsi"/>
          <w:bCs/>
          <w:sz w:val="26"/>
          <w:szCs w:val="26"/>
        </w:rPr>
        <w:t xml:space="preserve">  </w:t>
      </w:r>
      <w:r w:rsidR="003A3B57">
        <w:rPr>
          <w:rFonts w:cstheme="minorHAnsi"/>
          <w:bCs/>
          <w:sz w:val="26"/>
          <w:szCs w:val="26"/>
        </w:rPr>
        <w:t>But you are correct to point out the inequity.  If the City has a “we’re</w:t>
      </w:r>
      <w:r w:rsidR="00C16F25">
        <w:rPr>
          <w:rFonts w:cstheme="minorHAnsi"/>
          <w:bCs/>
          <w:sz w:val="26"/>
          <w:szCs w:val="26"/>
        </w:rPr>
        <w:t>-</w:t>
      </w:r>
      <w:r w:rsidR="003A3B57">
        <w:rPr>
          <w:rFonts w:cstheme="minorHAnsi"/>
          <w:bCs/>
          <w:sz w:val="26"/>
          <w:szCs w:val="26"/>
        </w:rPr>
        <w:t>all</w:t>
      </w:r>
      <w:r w:rsidR="00C16F25">
        <w:rPr>
          <w:rFonts w:cstheme="minorHAnsi"/>
          <w:bCs/>
          <w:sz w:val="26"/>
          <w:szCs w:val="26"/>
        </w:rPr>
        <w:t>-</w:t>
      </w:r>
      <w:r w:rsidR="003A3B57">
        <w:rPr>
          <w:rFonts w:cstheme="minorHAnsi"/>
          <w:bCs/>
          <w:sz w:val="26"/>
          <w:szCs w:val="26"/>
        </w:rPr>
        <w:t>in</w:t>
      </w:r>
      <w:r w:rsidR="00C16F25">
        <w:rPr>
          <w:rFonts w:cstheme="minorHAnsi"/>
          <w:bCs/>
          <w:sz w:val="26"/>
          <w:szCs w:val="26"/>
        </w:rPr>
        <w:t>-</w:t>
      </w:r>
      <w:r w:rsidR="003A3B57">
        <w:rPr>
          <w:rFonts w:cstheme="minorHAnsi"/>
          <w:bCs/>
          <w:sz w:val="26"/>
          <w:szCs w:val="26"/>
        </w:rPr>
        <w:t>it</w:t>
      </w:r>
      <w:r w:rsidR="00C16F25">
        <w:rPr>
          <w:rFonts w:cstheme="minorHAnsi"/>
          <w:bCs/>
          <w:sz w:val="26"/>
          <w:szCs w:val="26"/>
        </w:rPr>
        <w:t>-</w:t>
      </w:r>
      <w:r w:rsidR="003A3B57">
        <w:rPr>
          <w:rFonts w:cstheme="minorHAnsi"/>
          <w:bCs/>
          <w:sz w:val="26"/>
          <w:szCs w:val="26"/>
        </w:rPr>
        <w:t xml:space="preserve">together” </w:t>
      </w:r>
      <w:r w:rsidR="00C16F25">
        <w:rPr>
          <w:rFonts w:cstheme="minorHAnsi"/>
          <w:bCs/>
          <w:sz w:val="26"/>
          <w:szCs w:val="26"/>
        </w:rPr>
        <w:t>mindset</w:t>
      </w:r>
      <w:r w:rsidR="003A3B57">
        <w:rPr>
          <w:rFonts w:cstheme="minorHAnsi"/>
          <w:bCs/>
          <w:sz w:val="26"/>
          <w:szCs w:val="26"/>
        </w:rPr>
        <w:t>, they should look to the officers for some other form of savings</w:t>
      </w:r>
      <w:r w:rsidR="003051BD">
        <w:rPr>
          <w:rFonts w:cstheme="minorHAnsi"/>
          <w:bCs/>
          <w:sz w:val="26"/>
          <w:szCs w:val="26"/>
        </w:rPr>
        <w:t>, like accepting a pay cut</w:t>
      </w:r>
      <w:r w:rsidR="003A3B57">
        <w:rPr>
          <w:rFonts w:cstheme="minorHAnsi"/>
          <w:bCs/>
          <w:sz w:val="26"/>
          <w:szCs w:val="26"/>
        </w:rPr>
        <w:t>.</w:t>
      </w:r>
      <w:r w:rsidR="00C16F25">
        <w:rPr>
          <w:rFonts w:cstheme="minorHAnsi"/>
          <w:bCs/>
          <w:sz w:val="26"/>
          <w:szCs w:val="26"/>
        </w:rPr>
        <w:t xml:space="preserve">  Your employee organization </w:t>
      </w:r>
      <w:r w:rsidR="005F2375">
        <w:rPr>
          <w:rFonts w:cstheme="minorHAnsi"/>
          <w:bCs/>
          <w:sz w:val="26"/>
          <w:szCs w:val="26"/>
        </w:rPr>
        <w:t>cannot</w:t>
      </w:r>
      <w:r w:rsidR="00C16F25">
        <w:rPr>
          <w:rFonts w:cstheme="minorHAnsi"/>
          <w:bCs/>
          <w:sz w:val="26"/>
          <w:szCs w:val="26"/>
        </w:rPr>
        <w:t xml:space="preserve"> dictate what cuts the officers take, any more than the officers can dictate what cuts you take.  But </w:t>
      </w:r>
      <w:r w:rsidR="005F2375">
        <w:rPr>
          <w:rFonts w:cstheme="minorHAnsi"/>
          <w:bCs/>
          <w:sz w:val="26"/>
          <w:szCs w:val="26"/>
        </w:rPr>
        <w:t>you</w:t>
      </w:r>
      <w:r w:rsidR="0031030E">
        <w:rPr>
          <w:rFonts w:cstheme="minorHAnsi"/>
          <w:bCs/>
          <w:sz w:val="26"/>
          <w:szCs w:val="26"/>
        </w:rPr>
        <w:t xml:space="preserve"> </w:t>
      </w:r>
      <w:r w:rsidR="00C16F25">
        <w:rPr>
          <w:rFonts w:cstheme="minorHAnsi"/>
          <w:bCs/>
          <w:sz w:val="26"/>
          <w:szCs w:val="26"/>
        </w:rPr>
        <w:t xml:space="preserve">can negotiate for parity across all employees.  </w:t>
      </w:r>
    </w:p>
    <w:p w14:paraId="7393DE22" w14:textId="77777777" w:rsidR="00466871" w:rsidRDefault="00C16F25" w:rsidP="00EF27C6">
      <w:pPr>
        <w:jc w:val="both"/>
        <w:rPr>
          <w:rFonts w:cstheme="minorHAnsi"/>
          <w:bCs/>
          <w:sz w:val="26"/>
          <w:szCs w:val="26"/>
        </w:rPr>
      </w:pPr>
      <w:r>
        <w:rPr>
          <w:rFonts w:cstheme="minorHAnsi"/>
          <w:bCs/>
          <w:sz w:val="26"/>
          <w:szCs w:val="26"/>
        </w:rPr>
        <w:t xml:space="preserve">If something reasonable </w:t>
      </w:r>
      <w:r w:rsidR="005F2375">
        <w:rPr>
          <w:rFonts w:cstheme="minorHAnsi"/>
          <w:bCs/>
          <w:sz w:val="26"/>
          <w:szCs w:val="26"/>
        </w:rPr>
        <w:t>cannot</w:t>
      </w:r>
      <w:r>
        <w:rPr>
          <w:rFonts w:cstheme="minorHAnsi"/>
          <w:bCs/>
          <w:sz w:val="26"/>
          <w:szCs w:val="26"/>
        </w:rPr>
        <w:t xml:space="preserve"> be worked out, your organization could reject the City-proposed furloughs.  If you are currently in a contract, the City would </w:t>
      </w:r>
      <w:r w:rsidR="007C532A">
        <w:rPr>
          <w:rFonts w:cstheme="minorHAnsi"/>
          <w:bCs/>
          <w:sz w:val="26"/>
          <w:szCs w:val="26"/>
        </w:rPr>
        <w:t xml:space="preserve">then </w:t>
      </w:r>
      <w:r>
        <w:rPr>
          <w:rFonts w:cstheme="minorHAnsi"/>
          <w:bCs/>
          <w:sz w:val="26"/>
          <w:szCs w:val="26"/>
        </w:rPr>
        <w:t xml:space="preserve">be forced to come up with savings some other way.  That </w:t>
      </w:r>
      <w:r w:rsidRPr="005F2375">
        <w:rPr>
          <w:rFonts w:cstheme="minorHAnsi"/>
          <w:bCs/>
          <w:i/>
          <w:iCs/>
          <w:sz w:val="26"/>
          <w:szCs w:val="26"/>
        </w:rPr>
        <w:t>may</w:t>
      </w:r>
      <w:r>
        <w:rPr>
          <w:rFonts w:cstheme="minorHAnsi"/>
          <w:bCs/>
          <w:sz w:val="26"/>
          <w:szCs w:val="26"/>
        </w:rPr>
        <w:t xml:space="preserve"> mean layoffs.  If you are out of contract, the City could impose furloughs after </w:t>
      </w:r>
      <w:r w:rsidR="00A53FA4">
        <w:rPr>
          <w:rFonts w:cstheme="minorHAnsi"/>
          <w:bCs/>
          <w:sz w:val="26"/>
          <w:szCs w:val="26"/>
        </w:rPr>
        <w:t xml:space="preserve">exhausting </w:t>
      </w:r>
      <w:r>
        <w:rPr>
          <w:rFonts w:cstheme="minorHAnsi"/>
          <w:bCs/>
          <w:sz w:val="26"/>
          <w:szCs w:val="26"/>
        </w:rPr>
        <w:t xml:space="preserve">the bargaining process up to and including </w:t>
      </w:r>
      <w:r w:rsidR="007C532A">
        <w:rPr>
          <w:rFonts w:cstheme="minorHAnsi"/>
          <w:bCs/>
          <w:sz w:val="26"/>
          <w:szCs w:val="26"/>
        </w:rPr>
        <w:t xml:space="preserve">a </w:t>
      </w:r>
      <w:r>
        <w:rPr>
          <w:rFonts w:cstheme="minorHAnsi"/>
          <w:bCs/>
          <w:sz w:val="26"/>
          <w:szCs w:val="26"/>
        </w:rPr>
        <w:t xml:space="preserve">fact-finding </w:t>
      </w:r>
      <w:r w:rsidR="00920F22">
        <w:rPr>
          <w:rFonts w:cstheme="minorHAnsi"/>
          <w:bCs/>
          <w:sz w:val="26"/>
          <w:szCs w:val="26"/>
        </w:rPr>
        <w:t>panel</w:t>
      </w:r>
      <w:r>
        <w:rPr>
          <w:rFonts w:cstheme="minorHAnsi"/>
          <w:bCs/>
          <w:sz w:val="26"/>
          <w:szCs w:val="26"/>
        </w:rPr>
        <w:t>.</w:t>
      </w:r>
      <w:r w:rsidR="007C532A">
        <w:rPr>
          <w:rFonts w:cstheme="minorHAnsi"/>
          <w:bCs/>
          <w:sz w:val="26"/>
          <w:szCs w:val="26"/>
        </w:rPr>
        <w:t xml:space="preserve">  Both issues – the lack of parity, and enterprise </w:t>
      </w:r>
      <w:r w:rsidR="00367248">
        <w:rPr>
          <w:rFonts w:cstheme="minorHAnsi"/>
          <w:bCs/>
          <w:sz w:val="26"/>
          <w:szCs w:val="26"/>
        </w:rPr>
        <w:t xml:space="preserve">versus general </w:t>
      </w:r>
      <w:r w:rsidR="007C532A">
        <w:rPr>
          <w:rFonts w:cstheme="minorHAnsi"/>
          <w:bCs/>
          <w:sz w:val="26"/>
          <w:szCs w:val="26"/>
        </w:rPr>
        <w:t>fund</w:t>
      </w:r>
      <w:r w:rsidR="00367248">
        <w:rPr>
          <w:rFonts w:cstheme="minorHAnsi"/>
          <w:bCs/>
          <w:sz w:val="26"/>
          <w:szCs w:val="26"/>
        </w:rPr>
        <w:t xml:space="preserve"> costs</w:t>
      </w:r>
      <w:r w:rsidR="007C532A">
        <w:rPr>
          <w:rFonts w:cstheme="minorHAnsi"/>
          <w:bCs/>
          <w:sz w:val="26"/>
          <w:szCs w:val="26"/>
        </w:rPr>
        <w:t xml:space="preserve"> – can be argued at the fact-finding hearing.</w:t>
      </w:r>
      <w:r w:rsidR="00D73FA5">
        <w:rPr>
          <w:rFonts w:cstheme="minorHAnsi"/>
          <w:bCs/>
          <w:sz w:val="26"/>
          <w:szCs w:val="26"/>
        </w:rPr>
        <w:t xml:space="preserve">  Good luck</w:t>
      </w:r>
      <w:r w:rsidR="00DE0EAE">
        <w:rPr>
          <w:rFonts w:cstheme="minorHAnsi"/>
          <w:bCs/>
          <w:sz w:val="26"/>
          <w:szCs w:val="26"/>
        </w:rPr>
        <w:t>!</w:t>
      </w:r>
    </w:p>
    <w:p w14:paraId="731BFC99" w14:textId="77777777" w:rsidR="00382B30" w:rsidRDefault="00382B30" w:rsidP="00EF27C6">
      <w:pPr>
        <w:jc w:val="both"/>
        <w:rPr>
          <w:rFonts w:cstheme="minorHAnsi"/>
          <w:bCs/>
          <w:sz w:val="26"/>
          <w:szCs w:val="26"/>
        </w:rPr>
      </w:pPr>
    </w:p>
    <w:sectPr w:rsidR="00382B30" w:rsidSect="00382B30">
      <w:type w:val="continuous"/>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400BA" w14:textId="77777777" w:rsidR="002F7FA8" w:rsidRDefault="002F7FA8">
      <w:pPr>
        <w:spacing w:after="0" w:line="240" w:lineRule="auto"/>
      </w:pPr>
      <w:r>
        <w:separator/>
      </w:r>
    </w:p>
  </w:endnote>
  <w:endnote w:type="continuationSeparator" w:id="0">
    <w:p w14:paraId="3AF20949" w14:textId="77777777" w:rsidR="002F7FA8" w:rsidRDefault="002F7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982754"/>
      <w:docPartObj>
        <w:docPartGallery w:val="Page Numbers (Bottom of Page)"/>
        <w:docPartUnique/>
      </w:docPartObj>
    </w:sdtPr>
    <w:sdtEndPr>
      <w:rPr>
        <w:noProof/>
      </w:rPr>
    </w:sdtEndPr>
    <w:sdtContent>
      <w:p w14:paraId="4689C8E8" w14:textId="77777777" w:rsidR="00707EC7" w:rsidRDefault="00707EC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EED4765" w14:textId="77777777" w:rsidR="00707EC7" w:rsidRDefault="00707EC7">
    <w:pPr>
      <w:pStyle w:val="Footer"/>
    </w:pPr>
  </w:p>
  <w:p w14:paraId="5FD8C2BC" w14:textId="77777777" w:rsidR="00707EC7" w:rsidRDefault="00707EC7"/>
  <w:p w14:paraId="19B3865C" w14:textId="77777777" w:rsidR="00707EC7" w:rsidRDefault="00707E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4812004"/>
      <w:docPartObj>
        <w:docPartGallery w:val="Page Numbers (Bottom of Page)"/>
        <w:docPartUnique/>
      </w:docPartObj>
    </w:sdtPr>
    <w:sdtEndPr>
      <w:rPr>
        <w:noProof/>
      </w:rPr>
    </w:sdtEndPr>
    <w:sdtContent>
      <w:p w14:paraId="134F5448" w14:textId="77777777" w:rsidR="00707EC7" w:rsidRDefault="00707EC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561151D" w14:textId="77777777" w:rsidR="00707EC7" w:rsidRDefault="00707EC7">
    <w:pPr>
      <w:pStyle w:val="Footer"/>
    </w:pPr>
  </w:p>
  <w:p w14:paraId="5873D3E6" w14:textId="77777777" w:rsidR="00707EC7" w:rsidRDefault="00707E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007B5" w14:textId="77777777" w:rsidR="002F7FA8" w:rsidRDefault="002F7FA8">
      <w:pPr>
        <w:spacing w:after="0" w:line="240" w:lineRule="auto"/>
      </w:pPr>
      <w:r>
        <w:separator/>
      </w:r>
    </w:p>
  </w:footnote>
  <w:footnote w:type="continuationSeparator" w:id="0">
    <w:p w14:paraId="6EA64123" w14:textId="77777777" w:rsidR="002F7FA8" w:rsidRDefault="002F7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72757"/>
    <w:multiLevelType w:val="hybridMultilevel"/>
    <w:tmpl w:val="4264739A"/>
    <w:lvl w:ilvl="0" w:tplc="7CCAB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C5D33"/>
    <w:multiLevelType w:val="hybridMultilevel"/>
    <w:tmpl w:val="63D41DC4"/>
    <w:lvl w:ilvl="0" w:tplc="86E455EC">
      <w:start w:val="1"/>
      <w:numFmt w:val="decimal"/>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63F6F"/>
    <w:multiLevelType w:val="multilevel"/>
    <w:tmpl w:val="7E22808C"/>
    <w:lvl w:ilvl="0">
      <w:start w:val="1"/>
      <w:numFmt w:val="decimal"/>
      <w:lvlText w:val="%1."/>
      <w:lvlJc w:val="left"/>
      <w:pPr>
        <w:tabs>
          <w:tab w:val="num" w:pos="720"/>
        </w:tabs>
        <w:ind w:left="720" w:hanging="360"/>
      </w:pPr>
      <w:rPr>
        <w:rFonts w:asciiTheme="minorHAnsi" w:hAnsiTheme="minorHAnsi" w:cstheme="minorHAnsi" w:hint="default"/>
        <w:sz w:val="26"/>
        <w:szCs w:val="2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584D27"/>
    <w:multiLevelType w:val="hybridMultilevel"/>
    <w:tmpl w:val="2ED2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0590710"/>
    <w:multiLevelType w:val="hybridMultilevel"/>
    <w:tmpl w:val="3910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C35EF"/>
    <w:multiLevelType w:val="hybridMultilevel"/>
    <w:tmpl w:val="AF5C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72959"/>
    <w:multiLevelType w:val="hybridMultilevel"/>
    <w:tmpl w:val="F8B02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371ECC"/>
    <w:multiLevelType w:val="multilevel"/>
    <w:tmpl w:val="67D496B4"/>
    <w:lvl w:ilvl="0">
      <w:start w:val="1"/>
      <w:numFmt w:val="decimal"/>
      <w:lvlText w:val="%1."/>
      <w:lvlJc w:val="left"/>
      <w:pPr>
        <w:tabs>
          <w:tab w:val="num" w:pos="720"/>
        </w:tabs>
        <w:ind w:left="720" w:hanging="360"/>
      </w:pPr>
      <w:rPr>
        <w:rFonts w:asciiTheme="minorHAnsi" w:hAnsiTheme="minorHAnsi" w:cstheme="minorHAnsi" w:hint="default"/>
        <w:sz w:val="26"/>
        <w:szCs w:val="2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370F34"/>
    <w:multiLevelType w:val="hybridMultilevel"/>
    <w:tmpl w:val="75BE9AC0"/>
    <w:lvl w:ilvl="0" w:tplc="DF7C13D6">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A2007F"/>
    <w:multiLevelType w:val="hybridMultilevel"/>
    <w:tmpl w:val="72C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20FF7"/>
    <w:multiLevelType w:val="hybridMultilevel"/>
    <w:tmpl w:val="4242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2B10B2"/>
    <w:multiLevelType w:val="hybridMultilevel"/>
    <w:tmpl w:val="47EA5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EAC7F04"/>
    <w:multiLevelType w:val="hybridMultilevel"/>
    <w:tmpl w:val="966C58B0"/>
    <w:lvl w:ilvl="0" w:tplc="86E455EC">
      <w:start w:val="1"/>
      <w:numFmt w:val="decimal"/>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491CEC"/>
    <w:multiLevelType w:val="hybridMultilevel"/>
    <w:tmpl w:val="7BCCC5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1"/>
  </w:num>
  <w:num w:numId="2">
    <w:abstractNumId w:val="3"/>
  </w:num>
  <w:num w:numId="3">
    <w:abstractNumId w:val="6"/>
  </w:num>
  <w:num w:numId="4">
    <w:abstractNumId w:val="12"/>
  </w:num>
  <w:num w:numId="5">
    <w:abstractNumId w:val="1"/>
  </w:num>
  <w:num w:numId="6">
    <w:abstractNumId w:val="8"/>
  </w:num>
  <w:num w:numId="7">
    <w:abstractNumId w:val="0"/>
  </w:num>
  <w:num w:numId="8">
    <w:abstractNumId w:val="9"/>
  </w:num>
  <w:num w:numId="9">
    <w:abstractNumId w:val="2"/>
  </w:num>
  <w:num w:numId="10">
    <w:abstractNumId w:val="7"/>
  </w:num>
  <w:num w:numId="11">
    <w:abstractNumId w:val="5"/>
  </w:num>
  <w:num w:numId="12">
    <w:abstractNumId w:val="13"/>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2C"/>
    <w:rsid w:val="00003947"/>
    <w:rsid w:val="000102D4"/>
    <w:rsid w:val="000129AC"/>
    <w:rsid w:val="00012CBD"/>
    <w:rsid w:val="00013AFD"/>
    <w:rsid w:val="0002089F"/>
    <w:rsid w:val="00020F4E"/>
    <w:rsid w:val="0002258A"/>
    <w:rsid w:val="00035A66"/>
    <w:rsid w:val="0004009B"/>
    <w:rsid w:val="00047896"/>
    <w:rsid w:val="00051A40"/>
    <w:rsid w:val="00051B89"/>
    <w:rsid w:val="00063EF5"/>
    <w:rsid w:val="000646E4"/>
    <w:rsid w:val="00066737"/>
    <w:rsid w:val="000702A7"/>
    <w:rsid w:val="0007317B"/>
    <w:rsid w:val="00074379"/>
    <w:rsid w:val="00090656"/>
    <w:rsid w:val="00090835"/>
    <w:rsid w:val="000A0B3C"/>
    <w:rsid w:val="000A78A4"/>
    <w:rsid w:val="000A7B7A"/>
    <w:rsid w:val="000B1089"/>
    <w:rsid w:val="000B5212"/>
    <w:rsid w:val="000C01C1"/>
    <w:rsid w:val="000C0617"/>
    <w:rsid w:val="000C0A1C"/>
    <w:rsid w:val="000C0AE8"/>
    <w:rsid w:val="000C1B24"/>
    <w:rsid w:val="000D2408"/>
    <w:rsid w:val="000D64B4"/>
    <w:rsid w:val="000D65FC"/>
    <w:rsid w:val="000D6C98"/>
    <w:rsid w:val="000D70AE"/>
    <w:rsid w:val="000D7EA4"/>
    <w:rsid w:val="000D7EFF"/>
    <w:rsid w:val="000E2DE8"/>
    <w:rsid w:val="000F49A9"/>
    <w:rsid w:val="00103501"/>
    <w:rsid w:val="00103786"/>
    <w:rsid w:val="00124ABF"/>
    <w:rsid w:val="00135A7D"/>
    <w:rsid w:val="00137C4C"/>
    <w:rsid w:val="0014126E"/>
    <w:rsid w:val="001446E8"/>
    <w:rsid w:val="00146EE7"/>
    <w:rsid w:val="00146F4D"/>
    <w:rsid w:val="0016396D"/>
    <w:rsid w:val="00164635"/>
    <w:rsid w:val="00164874"/>
    <w:rsid w:val="00165B41"/>
    <w:rsid w:val="00166337"/>
    <w:rsid w:val="001741C5"/>
    <w:rsid w:val="00175042"/>
    <w:rsid w:val="0018163F"/>
    <w:rsid w:val="001903F6"/>
    <w:rsid w:val="00192092"/>
    <w:rsid w:val="00193331"/>
    <w:rsid w:val="00195E20"/>
    <w:rsid w:val="001976BB"/>
    <w:rsid w:val="001A1480"/>
    <w:rsid w:val="001A6622"/>
    <w:rsid w:val="001A7DEB"/>
    <w:rsid w:val="001B22DC"/>
    <w:rsid w:val="001B66D0"/>
    <w:rsid w:val="001C765B"/>
    <w:rsid w:val="001C7D51"/>
    <w:rsid w:val="001D16E6"/>
    <w:rsid w:val="001D5A66"/>
    <w:rsid w:val="001D6A6A"/>
    <w:rsid w:val="001E3A51"/>
    <w:rsid w:val="001E5D1F"/>
    <w:rsid w:val="001E5D54"/>
    <w:rsid w:val="001F0A9B"/>
    <w:rsid w:val="001F6F7E"/>
    <w:rsid w:val="001F7002"/>
    <w:rsid w:val="002076D4"/>
    <w:rsid w:val="00211229"/>
    <w:rsid w:val="002158E4"/>
    <w:rsid w:val="00216D6B"/>
    <w:rsid w:val="00220411"/>
    <w:rsid w:val="0022073D"/>
    <w:rsid w:val="002231B4"/>
    <w:rsid w:val="002259C8"/>
    <w:rsid w:val="00230338"/>
    <w:rsid w:val="00232CC1"/>
    <w:rsid w:val="0023775A"/>
    <w:rsid w:val="00245154"/>
    <w:rsid w:val="00245C92"/>
    <w:rsid w:val="00246BE9"/>
    <w:rsid w:val="00247C14"/>
    <w:rsid w:val="0025243C"/>
    <w:rsid w:val="00256204"/>
    <w:rsid w:val="002569CE"/>
    <w:rsid w:val="00264755"/>
    <w:rsid w:val="00266DA4"/>
    <w:rsid w:val="002701FD"/>
    <w:rsid w:val="002824F4"/>
    <w:rsid w:val="002845F7"/>
    <w:rsid w:val="0028604D"/>
    <w:rsid w:val="002A37AF"/>
    <w:rsid w:val="002B6A0A"/>
    <w:rsid w:val="002C23E9"/>
    <w:rsid w:val="002C2479"/>
    <w:rsid w:val="002C2A40"/>
    <w:rsid w:val="002D45F1"/>
    <w:rsid w:val="002D5BC2"/>
    <w:rsid w:val="002D5BFA"/>
    <w:rsid w:val="002E779B"/>
    <w:rsid w:val="002F261A"/>
    <w:rsid w:val="002F3F27"/>
    <w:rsid w:val="002F5470"/>
    <w:rsid w:val="002F69E1"/>
    <w:rsid w:val="002F7FA8"/>
    <w:rsid w:val="00304063"/>
    <w:rsid w:val="003051BD"/>
    <w:rsid w:val="0030704F"/>
    <w:rsid w:val="0031030E"/>
    <w:rsid w:val="00314CEB"/>
    <w:rsid w:val="0032196E"/>
    <w:rsid w:val="00330785"/>
    <w:rsid w:val="00334FF3"/>
    <w:rsid w:val="0033591C"/>
    <w:rsid w:val="00340C32"/>
    <w:rsid w:val="003440B7"/>
    <w:rsid w:val="00354954"/>
    <w:rsid w:val="0035511C"/>
    <w:rsid w:val="00357A25"/>
    <w:rsid w:val="00360AB0"/>
    <w:rsid w:val="00361755"/>
    <w:rsid w:val="00363090"/>
    <w:rsid w:val="0036610B"/>
    <w:rsid w:val="00367248"/>
    <w:rsid w:val="00370853"/>
    <w:rsid w:val="00382B30"/>
    <w:rsid w:val="00386679"/>
    <w:rsid w:val="00393C83"/>
    <w:rsid w:val="003958D7"/>
    <w:rsid w:val="00395FC4"/>
    <w:rsid w:val="00397022"/>
    <w:rsid w:val="003A375C"/>
    <w:rsid w:val="003A3B57"/>
    <w:rsid w:val="003A593F"/>
    <w:rsid w:val="003B2292"/>
    <w:rsid w:val="003B667B"/>
    <w:rsid w:val="003B66D7"/>
    <w:rsid w:val="003B673B"/>
    <w:rsid w:val="003C1AA7"/>
    <w:rsid w:val="003C1D29"/>
    <w:rsid w:val="003C2A46"/>
    <w:rsid w:val="003D3AD7"/>
    <w:rsid w:val="003E30D0"/>
    <w:rsid w:val="003E6E59"/>
    <w:rsid w:val="003F20EA"/>
    <w:rsid w:val="003F5482"/>
    <w:rsid w:val="003F5591"/>
    <w:rsid w:val="003F5C64"/>
    <w:rsid w:val="00401D5E"/>
    <w:rsid w:val="00404059"/>
    <w:rsid w:val="00411B8A"/>
    <w:rsid w:val="00413DCC"/>
    <w:rsid w:val="004142CE"/>
    <w:rsid w:val="00416AA1"/>
    <w:rsid w:val="0041740A"/>
    <w:rsid w:val="00417E3C"/>
    <w:rsid w:val="00420D01"/>
    <w:rsid w:val="004215C1"/>
    <w:rsid w:val="00433758"/>
    <w:rsid w:val="00440D1D"/>
    <w:rsid w:val="00453DA5"/>
    <w:rsid w:val="0045431D"/>
    <w:rsid w:val="00463782"/>
    <w:rsid w:val="00466871"/>
    <w:rsid w:val="00466BDE"/>
    <w:rsid w:val="00467D8C"/>
    <w:rsid w:val="00473187"/>
    <w:rsid w:val="0047528B"/>
    <w:rsid w:val="00477A3C"/>
    <w:rsid w:val="00477FD8"/>
    <w:rsid w:val="00480AFE"/>
    <w:rsid w:val="004867E3"/>
    <w:rsid w:val="00493B59"/>
    <w:rsid w:val="00495B2E"/>
    <w:rsid w:val="004A2453"/>
    <w:rsid w:val="004A77FA"/>
    <w:rsid w:val="004B4193"/>
    <w:rsid w:val="004C005D"/>
    <w:rsid w:val="004C623F"/>
    <w:rsid w:val="004D0527"/>
    <w:rsid w:val="004D46E4"/>
    <w:rsid w:val="004E5D4D"/>
    <w:rsid w:val="004E73D3"/>
    <w:rsid w:val="004F48DE"/>
    <w:rsid w:val="004F579F"/>
    <w:rsid w:val="004F67F4"/>
    <w:rsid w:val="00505ADF"/>
    <w:rsid w:val="005168BA"/>
    <w:rsid w:val="00517A14"/>
    <w:rsid w:val="00520989"/>
    <w:rsid w:val="00522D9B"/>
    <w:rsid w:val="00525A3F"/>
    <w:rsid w:val="00533AE9"/>
    <w:rsid w:val="00535CA2"/>
    <w:rsid w:val="00536DAC"/>
    <w:rsid w:val="005418C8"/>
    <w:rsid w:val="00544E0D"/>
    <w:rsid w:val="005551E0"/>
    <w:rsid w:val="0055729B"/>
    <w:rsid w:val="005579A7"/>
    <w:rsid w:val="00565214"/>
    <w:rsid w:val="00570E73"/>
    <w:rsid w:val="005718D1"/>
    <w:rsid w:val="0057212E"/>
    <w:rsid w:val="00573DB2"/>
    <w:rsid w:val="00576A11"/>
    <w:rsid w:val="00582377"/>
    <w:rsid w:val="0058320F"/>
    <w:rsid w:val="0058625F"/>
    <w:rsid w:val="00590D69"/>
    <w:rsid w:val="00593AA5"/>
    <w:rsid w:val="005A2DAA"/>
    <w:rsid w:val="005A34BD"/>
    <w:rsid w:val="005A5D3F"/>
    <w:rsid w:val="005A6AFC"/>
    <w:rsid w:val="005B1F78"/>
    <w:rsid w:val="005B2BAF"/>
    <w:rsid w:val="005B3B4E"/>
    <w:rsid w:val="005C1152"/>
    <w:rsid w:val="005D26B9"/>
    <w:rsid w:val="005D2724"/>
    <w:rsid w:val="005D5CBD"/>
    <w:rsid w:val="005D7922"/>
    <w:rsid w:val="005E09AF"/>
    <w:rsid w:val="005E1413"/>
    <w:rsid w:val="005F10DB"/>
    <w:rsid w:val="005F1DD3"/>
    <w:rsid w:val="005F2375"/>
    <w:rsid w:val="005F5006"/>
    <w:rsid w:val="005F6189"/>
    <w:rsid w:val="006006B8"/>
    <w:rsid w:val="00601358"/>
    <w:rsid w:val="0061519E"/>
    <w:rsid w:val="006155C1"/>
    <w:rsid w:val="00616A1F"/>
    <w:rsid w:val="00616F52"/>
    <w:rsid w:val="006236A3"/>
    <w:rsid w:val="00624E4A"/>
    <w:rsid w:val="006267F9"/>
    <w:rsid w:val="00626BCB"/>
    <w:rsid w:val="00630623"/>
    <w:rsid w:val="0063116A"/>
    <w:rsid w:val="00632661"/>
    <w:rsid w:val="006340A1"/>
    <w:rsid w:val="0064422D"/>
    <w:rsid w:val="00646A4E"/>
    <w:rsid w:val="00655A9A"/>
    <w:rsid w:val="00656CF2"/>
    <w:rsid w:val="00657CA1"/>
    <w:rsid w:val="00657D66"/>
    <w:rsid w:val="006633DE"/>
    <w:rsid w:val="00665294"/>
    <w:rsid w:val="00665C40"/>
    <w:rsid w:val="00673292"/>
    <w:rsid w:val="00681C63"/>
    <w:rsid w:val="006871E7"/>
    <w:rsid w:val="00691422"/>
    <w:rsid w:val="00693AA6"/>
    <w:rsid w:val="006944B5"/>
    <w:rsid w:val="006964F1"/>
    <w:rsid w:val="00696655"/>
    <w:rsid w:val="00696FC8"/>
    <w:rsid w:val="006A1E50"/>
    <w:rsid w:val="006A33CF"/>
    <w:rsid w:val="006A58B9"/>
    <w:rsid w:val="006B0496"/>
    <w:rsid w:val="006B2AA6"/>
    <w:rsid w:val="006B7857"/>
    <w:rsid w:val="006D0591"/>
    <w:rsid w:val="006D3B78"/>
    <w:rsid w:val="006E0544"/>
    <w:rsid w:val="006F067E"/>
    <w:rsid w:val="007046AF"/>
    <w:rsid w:val="00707D76"/>
    <w:rsid w:val="00707EC7"/>
    <w:rsid w:val="0071031D"/>
    <w:rsid w:val="007119EE"/>
    <w:rsid w:val="00711D8E"/>
    <w:rsid w:val="007237A9"/>
    <w:rsid w:val="00725E22"/>
    <w:rsid w:val="007269B7"/>
    <w:rsid w:val="0073532C"/>
    <w:rsid w:val="00735365"/>
    <w:rsid w:val="007411DF"/>
    <w:rsid w:val="00753EBE"/>
    <w:rsid w:val="007633F8"/>
    <w:rsid w:val="00777304"/>
    <w:rsid w:val="00783F86"/>
    <w:rsid w:val="00787FC3"/>
    <w:rsid w:val="00791CF5"/>
    <w:rsid w:val="00793D7A"/>
    <w:rsid w:val="007A1DBD"/>
    <w:rsid w:val="007A2ED2"/>
    <w:rsid w:val="007A3A37"/>
    <w:rsid w:val="007B07CB"/>
    <w:rsid w:val="007B2478"/>
    <w:rsid w:val="007B348E"/>
    <w:rsid w:val="007B7294"/>
    <w:rsid w:val="007B76E5"/>
    <w:rsid w:val="007B7F83"/>
    <w:rsid w:val="007C012C"/>
    <w:rsid w:val="007C165B"/>
    <w:rsid w:val="007C2CF4"/>
    <w:rsid w:val="007C532A"/>
    <w:rsid w:val="007C6FD4"/>
    <w:rsid w:val="007D1699"/>
    <w:rsid w:val="007D7B6B"/>
    <w:rsid w:val="007D7CC3"/>
    <w:rsid w:val="007E1D49"/>
    <w:rsid w:val="007F1B84"/>
    <w:rsid w:val="007F3327"/>
    <w:rsid w:val="007F5111"/>
    <w:rsid w:val="007F6FF8"/>
    <w:rsid w:val="00801B91"/>
    <w:rsid w:val="00803726"/>
    <w:rsid w:val="00804C5A"/>
    <w:rsid w:val="00806F0A"/>
    <w:rsid w:val="00810A5B"/>
    <w:rsid w:val="00812824"/>
    <w:rsid w:val="00814E11"/>
    <w:rsid w:val="0081557B"/>
    <w:rsid w:val="00815982"/>
    <w:rsid w:val="0081614E"/>
    <w:rsid w:val="00820D78"/>
    <w:rsid w:val="00826C1B"/>
    <w:rsid w:val="00836361"/>
    <w:rsid w:val="00855DA0"/>
    <w:rsid w:val="008626EA"/>
    <w:rsid w:val="00863001"/>
    <w:rsid w:val="0086304F"/>
    <w:rsid w:val="00865BE4"/>
    <w:rsid w:val="00882759"/>
    <w:rsid w:val="00883319"/>
    <w:rsid w:val="00884500"/>
    <w:rsid w:val="0088497F"/>
    <w:rsid w:val="00887005"/>
    <w:rsid w:val="00887E90"/>
    <w:rsid w:val="0089018A"/>
    <w:rsid w:val="00891A0C"/>
    <w:rsid w:val="00895E41"/>
    <w:rsid w:val="00895F09"/>
    <w:rsid w:val="008A0207"/>
    <w:rsid w:val="008A23A7"/>
    <w:rsid w:val="008A3C6E"/>
    <w:rsid w:val="008A4BED"/>
    <w:rsid w:val="008A79CD"/>
    <w:rsid w:val="008B128E"/>
    <w:rsid w:val="008B3E2C"/>
    <w:rsid w:val="008B499B"/>
    <w:rsid w:val="008C0828"/>
    <w:rsid w:val="008C52AD"/>
    <w:rsid w:val="008C7039"/>
    <w:rsid w:val="008D135C"/>
    <w:rsid w:val="008E1B0D"/>
    <w:rsid w:val="008E1F0B"/>
    <w:rsid w:val="008E3F8D"/>
    <w:rsid w:val="008F0D62"/>
    <w:rsid w:val="008F1B24"/>
    <w:rsid w:val="008F3754"/>
    <w:rsid w:val="008F66BE"/>
    <w:rsid w:val="00901ECF"/>
    <w:rsid w:val="00902100"/>
    <w:rsid w:val="009137AA"/>
    <w:rsid w:val="00913A29"/>
    <w:rsid w:val="0091471B"/>
    <w:rsid w:val="00914A0B"/>
    <w:rsid w:val="0091787B"/>
    <w:rsid w:val="00920F22"/>
    <w:rsid w:val="00923F41"/>
    <w:rsid w:val="00934F78"/>
    <w:rsid w:val="0095526C"/>
    <w:rsid w:val="00956732"/>
    <w:rsid w:val="00964C72"/>
    <w:rsid w:val="00970D1C"/>
    <w:rsid w:val="00970FB0"/>
    <w:rsid w:val="00972D9D"/>
    <w:rsid w:val="00980C94"/>
    <w:rsid w:val="00982493"/>
    <w:rsid w:val="00983157"/>
    <w:rsid w:val="00983AF6"/>
    <w:rsid w:val="009868F7"/>
    <w:rsid w:val="009870CD"/>
    <w:rsid w:val="009900F9"/>
    <w:rsid w:val="0099341A"/>
    <w:rsid w:val="0099355C"/>
    <w:rsid w:val="00993C18"/>
    <w:rsid w:val="00996453"/>
    <w:rsid w:val="009965C4"/>
    <w:rsid w:val="009A1900"/>
    <w:rsid w:val="009A5512"/>
    <w:rsid w:val="009A784F"/>
    <w:rsid w:val="009A7EC8"/>
    <w:rsid w:val="009B00B0"/>
    <w:rsid w:val="009B0A7A"/>
    <w:rsid w:val="009B243E"/>
    <w:rsid w:val="009B3BEE"/>
    <w:rsid w:val="009B4D24"/>
    <w:rsid w:val="009B51E4"/>
    <w:rsid w:val="009C124E"/>
    <w:rsid w:val="009C47A4"/>
    <w:rsid w:val="009C4AE5"/>
    <w:rsid w:val="009C6ABE"/>
    <w:rsid w:val="009D51AD"/>
    <w:rsid w:val="009E348E"/>
    <w:rsid w:val="009E6320"/>
    <w:rsid w:val="009F4F4E"/>
    <w:rsid w:val="009F5B19"/>
    <w:rsid w:val="00A07065"/>
    <w:rsid w:val="00A1343B"/>
    <w:rsid w:val="00A205DE"/>
    <w:rsid w:val="00A21F0D"/>
    <w:rsid w:val="00A23715"/>
    <w:rsid w:val="00A24B9F"/>
    <w:rsid w:val="00A24C22"/>
    <w:rsid w:val="00A2569A"/>
    <w:rsid w:val="00A31D11"/>
    <w:rsid w:val="00A4577F"/>
    <w:rsid w:val="00A45B25"/>
    <w:rsid w:val="00A50C1A"/>
    <w:rsid w:val="00A520D6"/>
    <w:rsid w:val="00A53FA4"/>
    <w:rsid w:val="00A57622"/>
    <w:rsid w:val="00A63BD5"/>
    <w:rsid w:val="00A64A53"/>
    <w:rsid w:val="00A67181"/>
    <w:rsid w:val="00A72670"/>
    <w:rsid w:val="00A75B08"/>
    <w:rsid w:val="00A75BB9"/>
    <w:rsid w:val="00A80042"/>
    <w:rsid w:val="00A90778"/>
    <w:rsid w:val="00A91A57"/>
    <w:rsid w:val="00A95596"/>
    <w:rsid w:val="00A95F87"/>
    <w:rsid w:val="00A966FB"/>
    <w:rsid w:val="00A97E93"/>
    <w:rsid w:val="00AA1AB1"/>
    <w:rsid w:val="00AA1E7A"/>
    <w:rsid w:val="00AB205B"/>
    <w:rsid w:val="00AB253A"/>
    <w:rsid w:val="00AF150E"/>
    <w:rsid w:val="00AF4658"/>
    <w:rsid w:val="00AF54EE"/>
    <w:rsid w:val="00AF6403"/>
    <w:rsid w:val="00B01381"/>
    <w:rsid w:val="00B01E60"/>
    <w:rsid w:val="00B02DFF"/>
    <w:rsid w:val="00B04C18"/>
    <w:rsid w:val="00B05F24"/>
    <w:rsid w:val="00B074AC"/>
    <w:rsid w:val="00B16F68"/>
    <w:rsid w:val="00B17BDE"/>
    <w:rsid w:val="00B2019C"/>
    <w:rsid w:val="00B22D8F"/>
    <w:rsid w:val="00B271F9"/>
    <w:rsid w:val="00B275EB"/>
    <w:rsid w:val="00B31191"/>
    <w:rsid w:val="00B32228"/>
    <w:rsid w:val="00B32DFD"/>
    <w:rsid w:val="00B37CA6"/>
    <w:rsid w:val="00B40F70"/>
    <w:rsid w:val="00B4339C"/>
    <w:rsid w:val="00B45880"/>
    <w:rsid w:val="00B45B09"/>
    <w:rsid w:val="00B45E2C"/>
    <w:rsid w:val="00B463C7"/>
    <w:rsid w:val="00B51534"/>
    <w:rsid w:val="00B5569C"/>
    <w:rsid w:val="00B57410"/>
    <w:rsid w:val="00B611B0"/>
    <w:rsid w:val="00B6442A"/>
    <w:rsid w:val="00B64DB5"/>
    <w:rsid w:val="00B65DBB"/>
    <w:rsid w:val="00B667C4"/>
    <w:rsid w:val="00B668C9"/>
    <w:rsid w:val="00B70D50"/>
    <w:rsid w:val="00B72FF1"/>
    <w:rsid w:val="00B8076A"/>
    <w:rsid w:val="00B84634"/>
    <w:rsid w:val="00B84B36"/>
    <w:rsid w:val="00B93D16"/>
    <w:rsid w:val="00B94505"/>
    <w:rsid w:val="00B947ED"/>
    <w:rsid w:val="00B95A49"/>
    <w:rsid w:val="00B96507"/>
    <w:rsid w:val="00B9702C"/>
    <w:rsid w:val="00BA1422"/>
    <w:rsid w:val="00BA3006"/>
    <w:rsid w:val="00BB1F7B"/>
    <w:rsid w:val="00BC3B43"/>
    <w:rsid w:val="00BC555B"/>
    <w:rsid w:val="00BC6C8D"/>
    <w:rsid w:val="00BC7622"/>
    <w:rsid w:val="00BE1F55"/>
    <w:rsid w:val="00BE393B"/>
    <w:rsid w:val="00BF2BD9"/>
    <w:rsid w:val="00C00599"/>
    <w:rsid w:val="00C0261F"/>
    <w:rsid w:val="00C03E43"/>
    <w:rsid w:val="00C04089"/>
    <w:rsid w:val="00C14F5B"/>
    <w:rsid w:val="00C16F25"/>
    <w:rsid w:val="00C226A6"/>
    <w:rsid w:val="00C227BC"/>
    <w:rsid w:val="00C30714"/>
    <w:rsid w:val="00C34079"/>
    <w:rsid w:val="00C4070D"/>
    <w:rsid w:val="00C504C1"/>
    <w:rsid w:val="00C55C52"/>
    <w:rsid w:val="00C609E5"/>
    <w:rsid w:val="00C63737"/>
    <w:rsid w:val="00C638D9"/>
    <w:rsid w:val="00C63B82"/>
    <w:rsid w:val="00C7094A"/>
    <w:rsid w:val="00C7775D"/>
    <w:rsid w:val="00C85BBE"/>
    <w:rsid w:val="00C874BE"/>
    <w:rsid w:val="00C955FC"/>
    <w:rsid w:val="00C975F8"/>
    <w:rsid w:val="00CB146E"/>
    <w:rsid w:val="00CB3039"/>
    <w:rsid w:val="00CB31E7"/>
    <w:rsid w:val="00CB3420"/>
    <w:rsid w:val="00CB5622"/>
    <w:rsid w:val="00CB7FE7"/>
    <w:rsid w:val="00CC1DC0"/>
    <w:rsid w:val="00CC34A5"/>
    <w:rsid w:val="00CC35D1"/>
    <w:rsid w:val="00CC4F42"/>
    <w:rsid w:val="00CC4FD5"/>
    <w:rsid w:val="00CC6670"/>
    <w:rsid w:val="00CD02A1"/>
    <w:rsid w:val="00CD21F8"/>
    <w:rsid w:val="00CD40AF"/>
    <w:rsid w:val="00CE3799"/>
    <w:rsid w:val="00CE646D"/>
    <w:rsid w:val="00CF070D"/>
    <w:rsid w:val="00D043C4"/>
    <w:rsid w:val="00D13159"/>
    <w:rsid w:val="00D14903"/>
    <w:rsid w:val="00D22407"/>
    <w:rsid w:val="00D2552C"/>
    <w:rsid w:val="00D2734F"/>
    <w:rsid w:val="00D27C34"/>
    <w:rsid w:val="00D32339"/>
    <w:rsid w:val="00D34AC0"/>
    <w:rsid w:val="00D4038E"/>
    <w:rsid w:val="00D42523"/>
    <w:rsid w:val="00D53409"/>
    <w:rsid w:val="00D542C6"/>
    <w:rsid w:val="00D637AF"/>
    <w:rsid w:val="00D67400"/>
    <w:rsid w:val="00D71D29"/>
    <w:rsid w:val="00D73142"/>
    <w:rsid w:val="00D73FA5"/>
    <w:rsid w:val="00D75907"/>
    <w:rsid w:val="00DA16D1"/>
    <w:rsid w:val="00DB1AAA"/>
    <w:rsid w:val="00DB470A"/>
    <w:rsid w:val="00DB538B"/>
    <w:rsid w:val="00DC01C7"/>
    <w:rsid w:val="00DC0D3F"/>
    <w:rsid w:val="00DC2B3B"/>
    <w:rsid w:val="00DD0CBA"/>
    <w:rsid w:val="00DD187C"/>
    <w:rsid w:val="00DD36AA"/>
    <w:rsid w:val="00DE032C"/>
    <w:rsid w:val="00DE0B81"/>
    <w:rsid w:val="00DE0C77"/>
    <w:rsid w:val="00DE0EAE"/>
    <w:rsid w:val="00DE1FA4"/>
    <w:rsid w:val="00DE300E"/>
    <w:rsid w:val="00DE3822"/>
    <w:rsid w:val="00E0100E"/>
    <w:rsid w:val="00E056A5"/>
    <w:rsid w:val="00E201E4"/>
    <w:rsid w:val="00E21EC8"/>
    <w:rsid w:val="00E239D7"/>
    <w:rsid w:val="00E3178F"/>
    <w:rsid w:val="00E321BB"/>
    <w:rsid w:val="00E331B2"/>
    <w:rsid w:val="00E40405"/>
    <w:rsid w:val="00E42A46"/>
    <w:rsid w:val="00E43FDC"/>
    <w:rsid w:val="00E531A5"/>
    <w:rsid w:val="00E57CDA"/>
    <w:rsid w:val="00E62C18"/>
    <w:rsid w:val="00E62C7A"/>
    <w:rsid w:val="00E66185"/>
    <w:rsid w:val="00E67F3B"/>
    <w:rsid w:val="00E713C5"/>
    <w:rsid w:val="00E74954"/>
    <w:rsid w:val="00E773B4"/>
    <w:rsid w:val="00E8172B"/>
    <w:rsid w:val="00E86C96"/>
    <w:rsid w:val="00E91DB5"/>
    <w:rsid w:val="00E925A2"/>
    <w:rsid w:val="00E95D05"/>
    <w:rsid w:val="00E95F6B"/>
    <w:rsid w:val="00EA756B"/>
    <w:rsid w:val="00EB33A4"/>
    <w:rsid w:val="00EC4546"/>
    <w:rsid w:val="00ED3507"/>
    <w:rsid w:val="00ED79D1"/>
    <w:rsid w:val="00ED7A82"/>
    <w:rsid w:val="00EE0A67"/>
    <w:rsid w:val="00EE416A"/>
    <w:rsid w:val="00EE618C"/>
    <w:rsid w:val="00EE7967"/>
    <w:rsid w:val="00EE7CA0"/>
    <w:rsid w:val="00EF16D8"/>
    <w:rsid w:val="00EF23E2"/>
    <w:rsid w:val="00EF27C6"/>
    <w:rsid w:val="00EF4357"/>
    <w:rsid w:val="00EF5DAD"/>
    <w:rsid w:val="00F0001D"/>
    <w:rsid w:val="00F06A58"/>
    <w:rsid w:val="00F109D8"/>
    <w:rsid w:val="00F159BA"/>
    <w:rsid w:val="00F1775A"/>
    <w:rsid w:val="00F17A63"/>
    <w:rsid w:val="00F20ECD"/>
    <w:rsid w:val="00F23253"/>
    <w:rsid w:val="00F24D1E"/>
    <w:rsid w:val="00F27B3C"/>
    <w:rsid w:val="00F32B6A"/>
    <w:rsid w:val="00F3689F"/>
    <w:rsid w:val="00F3714F"/>
    <w:rsid w:val="00F47C1B"/>
    <w:rsid w:val="00F56B35"/>
    <w:rsid w:val="00F57F1B"/>
    <w:rsid w:val="00F74779"/>
    <w:rsid w:val="00F87067"/>
    <w:rsid w:val="00F923FC"/>
    <w:rsid w:val="00FA1543"/>
    <w:rsid w:val="00FA190B"/>
    <w:rsid w:val="00FA2A59"/>
    <w:rsid w:val="00FA690F"/>
    <w:rsid w:val="00FB2F26"/>
    <w:rsid w:val="00FB4332"/>
    <w:rsid w:val="00FB74C9"/>
    <w:rsid w:val="00FC0639"/>
    <w:rsid w:val="00FC3397"/>
    <w:rsid w:val="00FC38B6"/>
    <w:rsid w:val="00FC7D5F"/>
    <w:rsid w:val="00FD3B85"/>
    <w:rsid w:val="00FD6AE1"/>
    <w:rsid w:val="00FD7D6D"/>
    <w:rsid w:val="00FE025E"/>
    <w:rsid w:val="00FE096D"/>
    <w:rsid w:val="00FE0A3F"/>
    <w:rsid w:val="00FE21E0"/>
    <w:rsid w:val="00FE4927"/>
    <w:rsid w:val="00FE753B"/>
    <w:rsid w:val="00FF3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CF9F"/>
  <w15:chartTrackingRefBased/>
  <w15:docId w15:val="{680996D6-C1D5-4D4A-B704-C20A97C5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0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12C"/>
  </w:style>
  <w:style w:type="paragraph" w:styleId="ListParagraph">
    <w:name w:val="List Paragraph"/>
    <w:basedOn w:val="Normal"/>
    <w:uiPriority w:val="34"/>
    <w:qFormat/>
    <w:rsid w:val="007C012C"/>
    <w:pPr>
      <w:ind w:left="720"/>
      <w:contextualSpacing/>
    </w:pPr>
  </w:style>
  <w:style w:type="paragraph" w:styleId="Title">
    <w:name w:val="Title"/>
    <w:basedOn w:val="Normal"/>
    <w:link w:val="TitleChar"/>
    <w:qFormat/>
    <w:rsid w:val="007C012C"/>
    <w:pPr>
      <w:spacing w:after="0" w:line="240" w:lineRule="auto"/>
      <w:jc w:val="center"/>
    </w:pPr>
    <w:rPr>
      <w:rFonts w:ascii="Arial" w:eastAsia="Calibri" w:hAnsi="Arial" w:cs="Times New Roman"/>
      <w:b/>
      <w:i/>
      <w:sz w:val="44"/>
      <w:szCs w:val="20"/>
    </w:rPr>
  </w:style>
  <w:style w:type="character" w:customStyle="1" w:styleId="TitleChar">
    <w:name w:val="Title Char"/>
    <w:basedOn w:val="DefaultParagraphFont"/>
    <w:link w:val="Title"/>
    <w:rsid w:val="007C012C"/>
    <w:rPr>
      <w:rFonts w:ascii="Arial" w:eastAsia="Calibri" w:hAnsi="Arial" w:cs="Times New Roman"/>
      <w:b/>
      <w:i/>
      <w:sz w:val="44"/>
      <w:szCs w:val="20"/>
    </w:rPr>
  </w:style>
  <w:style w:type="paragraph" w:styleId="Subtitle">
    <w:name w:val="Subtitle"/>
    <w:basedOn w:val="Normal"/>
    <w:link w:val="SubtitleChar"/>
    <w:qFormat/>
    <w:rsid w:val="007C012C"/>
    <w:pPr>
      <w:spacing w:after="0" w:line="240" w:lineRule="auto"/>
      <w:jc w:val="center"/>
    </w:pPr>
    <w:rPr>
      <w:rFonts w:ascii="Times New Roman" w:eastAsia="Times New Roman" w:hAnsi="Times New Roman" w:cs="Times New Roman"/>
      <w:i/>
      <w:iCs/>
      <w:color w:val="3366FF"/>
      <w:sz w:val="88"/>
      <w:szCs w:val="24"/>
    </w:rPr>
  </w:style>
  <w:style w:type="character" w:customStyle="1" w:styleId="SubtitleChar">
    <w:name w:val="Subtitle Char"/>
    <w:basedOn w:val="DefaultParagraphFont"/>
    <w:link w:val="Subtitle"/>
    <w:rsid w:val="007C012C"/>
    <w:rPr>
      <w:rFonts w:ascii="Times New Roman" w:eastAsia="Times New Roman" w:hAnsi="Times New Roman" w:cs="Times New Roman"/>
      <w:i/>
      <w:iCs/>
      <w:color w:val="3366FF"/>
      <w:sz w:val="88"/>
      <w:szCs w:val="24"/>
    </w:rPr>
  </w:style>
  <w:style w:type="paragraph" w:styleId="PlainText">
    <w:name w:val="Plain Text"/>
    <w:basedOn w:val="Normal"/>
    <w:link w:val="PlainTextChar"/>
    <w:uiPriority w:val="99"/>
    <w:unhideWhenUsed/>
    <w:rsid w:val="007C012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C012C"/>
    <w:rPr>
      <w:rFonts w:ascii="Calibri" w:hAnsi="Calibri"/>
      <w:szCs w:val="21"/>
    </w:rPr>
  </w:style>
  <w:style w:type="paragraph" w:styleId="NormalWeb">
    <w:name w:val="Normal (Web)"/>
    <w:basedOn w:val="Normal"/>
    <w:uiPriority w:val="99"/>
    <w:unhideWhenUsed/>
    <w:rsid w:val="007C012C"/>
    <w:pPr>
      <w:spacing w:before="100" w:beforeAutospacing="1" w:after="100" w:afterAutospacing="1"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FE0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A3F"/>
    <w:rPr>
      <w:rFonts w:ascii="Segoe UI" w:hAnsi="Segoe UI" w:cs="Segoe UI"/>
      <w:sz w:val="18"/>
      <w:szCs w:val="18"/>
    </w:rPr>
  </w:style>
  <w:style w:type="character" w:styleId="Hyperlink">
    <w:name w:val="Hyperlink"/>
    <w:basedOn w:val="DefaultParagraphFont"/>
    <w:uiPriority w:val="99"/>
    <w:unhideWhenUsed/>
    <w:rsid w:val="000129AC"/>
    <w:rPr>
      <w:color w:val="0563C1" w:themeColor="hyperlink"/>
      <w:u w:val="single"/>
    </w:rPr>
  </w:style>
  <w:style w:type="character" w:customStyle="1" w:styleId="c5">
    <w:name w:val="c5"/>
    <w:basedOn w:val="DefaultParagraphFont"/>
    <w:rsid w:val="00BB1F7B"/>
  </w:style>
  <w:style w:type="character" w:customStyle="1" w:styleId="c1">
    <w:name w:val="c1"/>
    <w:basedOn w:val="DefaultParagraphFont"/>
    <w:rsid w:val="00BB1F7B"/>
  </w:style>
  <w:style w:type="character" w:styleId="UnresolvedMention">
    <w:name w:val="Unresolved Mention"/>
    <w:basedOn w:val="DefaultParagraphFont"/>
    <w:uiPriority w:val="99"/>
    <w:semiHidden/>
    <w:unhideWhenUsed/>
    <w:rsid w:val="003958D7"/>
    <w:rPr>
      <w:color w:val="605E5C"/>
      <w:shd w:val="clear" w:color="auto" w:fill="E1DFDD"/>
    </w:rPr>
  </w:style>
  <w:style w:type="paragraph" w:customStyle="1" w:styleId="BasicParagraph">
    <w:name w:val="[Basic Paragraph]"/>
    <w:basedOn w:val="Normal"/>
    <w:uiPriority w:val="99"/>
    <w:rsid w:val="005A34BD"/>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A3C73-254A-4635-8DEA-6813CC37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3867</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Natke</dc:creator>
  <cp:keywords/>
  <dc:description/>
  <cp:lastModifiedBy>Kara Natke</cp:lastModifiedBy>
  <cp:revision>2</cp:revision>
  <dcterms:created xsi:type="dcterms:W3CDTF">2020-07-21T18:21:00Z</dcterms:created>
  <dcterms:modified xsi:type="dcterms:W3CDTF">2020-07-21T18:21:00Z</dcterms:modified>
</cp:coreProperties>
</file>