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903D2" w14:textId="77777777" w:rsidR="00B36D7D" w:rsidRPr="00B36D7D" w:rsidRDefault="00B36D7D" w:rsidP="00B36D7D">
      <w:pPr>
        <w:jc w:val="center"/>
        <w:rPr>
          <w:rFonts w:ascii="Times New Roman" w:hAnsi="Times New Roman" w:cs="Times New Roman"/>
          <w:b/>
          <w:i/>
          <w:color w:val="00B050"/>
          <w:sz w:val="80"/>
          <w:szCs w:val="80"/>
        </w:rPr>
      </w:pPr>
      <w:r w:rsidRPr="00B36D7D">
        <w:rPr>
          <w:rFonts w:ascii="Times New Roman" w:hAnsi="Times New Roman" w:cs="Times New Roman"/>
          <w:b/>
          <w:i/>
          <w:color w:val="00B050"/>
          <w:sz w:val="80"/>
          <w:szCs w:val="80"/>
        </w:rPr>
        <w:t xml:space="preserve">Torrance Professionals &amp; Supervisors Association </w:t>
      </w:r>
    </w:p>
    <w:p w14:paraId="43CD0040" w14:textId="1104885B" w:rsidR="00701497" w:rsidRPr="00BE06A4" w:rsidRDefault="00091A8E" w:rsidP="00091A8E">
      <w:pPr>
        <w:jc w:val="center"/>
        <w:rPr>
          <w:rFonts w:ascii="Times New Roman" w:hAnsi="Times New Roman" w:cs="Times New Roman"/>
          <w:b/>
          <w:i/>
          <w:color w:val="2E74B5" w:themeColor="accent5" w:themeShade="BF"/>
          <w:sz w:val="80"/>
          <w:szCs w:val="80"/>
        </w:rPr>
      </w:pPr>
      <w:bookmarkStart w:id="0" w:name="_GoBack"/>
      <w:bookmarkEnd w:id="0"/>
      <w:r w:rsidRPr="00BE06A4">
        <w:rPr>
          <w:rFonts w:ascii="Times New Roman" w:hAnsi="Times New Roman" w:cs="Times New Roman"/>
          <w:b/>
          <w:i/>
          <w:color w:val="00B050"/>
          <w:sz w:val="80"/>
          <w:szCs w:val="80"/>
        </w:rPr>
        <w:t xml:space="preserve"> </w:t>
      </w:r>
      <w:r w:rsidR="00B82668" w:rsidRPr="00BE06A4">
        <w:rPr>
          <w:rFonts w:ascii="Times New Roman" w:hAnsi="Times New Roman" w:cs="Times New Roman"/>
          <w:b/>
          <w:i/>
          <w:color w:val="00B050"/>
          <w:sz w:val="80"/>
          <w:szCs w:val="80"/>
        </w:rPr>
        <w:t>Ju</w:t>
      </w:r>
      <w:r w:rsidR="007B2CD9" w:rsidRPr="00BE06A4">
        <w:rPr>
          <w:rFonts w:ascii="Times New Roman" w:hAnsi="Times New Roman" w:cs="Times New Roman"/>
          <w:b/>
          <w:i/>
          <w:color w:val="00B050"/>
          <w:sz w:val="80"/>
          <w:szCs w:val="80"/>
        </w:rPr>
        <w:t>ly</w:t>
      </w:r>
      <w:r w:rsidR="00D11C09" w:rsidRPr="00BE06A4">
        <w:rPr>
          <w:rFonts w:ascii="Times New Roman" w:hAnsi="Times New Roman" w:cs="Times New Roman"/>
          <w:b/>
          <w:i/>
          <w:color w:val="00B050"/>
          <w:sz w:val="80"/>
          <w:szCs w:val="80"/>
        </w:rPr>
        <w:t xml:space="preserve"> 2018 News</w:t>
      </w:r>
    </w:p>
    <w:p w14:paraId="5B83D4F4" w14:textId="77777777" w:rsidR="00E323E9" w:rsidRDefault="00E323E9" w:rsidP="00E323E9">
      <w:pPr>
        <w:spacing w:after="0" w:line="240" w:lineRule="auto"/>
        <w:jc w:val="center"/>
        <w:rPr>
          <w:b/>
          <w:sz w:val="48"/>
          <w:szCs w:val="48"/>
        </w:rPr>
      </w:pPr>
    </w:p>
    <w:p w14:paraId="0E0C29C7" w14:textId="59099545" w:rsidR="00E323E9" w:rsidRDefault="00920B5B" w:rsidP="00E323E9">
      <w:pPr>
        <w:spacing w:after="0" w:line="240" w:lineRule="auto"/>
        <w:jc w:val="center"/>
        <w:rPr>
          <w:b/>
          <w:sz w:val="48"/>
          <w:szCs w:val="48"/>
        </w:rPr>
      </w:pPr>
      <w:r>
        <w:rPr>
          <w:b/>
          <w:sz w:val="48"/>
          <w:szCs w:val="48"/>
        </w:rPr>
        <w:t xml:space="preserve">How are Pension Costs Paid </w:t>
      </w:r>
      <w:r w:rsidR="00BA7836">
        <w:rPr>
          <w:b/>
          <w:sz w:val="48"/>
          <w:szCs w:val="48"/>
        </w:rPr>
        <w:t>After PEPRA</w:t>
      </w:r>
      <w:r w:rsidR="00E323E9">
        <w:rPr>
          <w:b/>
          <w:sz w:val="48"/>
          <w:szCs w:val="48"/>
        </w:rPr>
        <w:t>?</w:t>
      </w:r>
    </w:p>
    <w:p w14:paraId="5FB05A39" w14:textId="77777777" w:rsidR="00BE06A4" w:rsidRDefault="00BE06A4" w:rsidP="00E323E9">
      <w:pPr>
        <w:spacing w:after="0" w:line="240" w:lineRule="auto"/>
        <w:jc w:val="center"/>
        <w:rPr>
          <w:b/>
          <w:sz w:val="48"/>
          <w:szCs w:val="48"/>
        </w:rPr>
      </w:pPr>
    </w:p>
    <w:p w14:paraId="5DC55781" w14:textId="098B3189" w:rsidR="00886FDD" w:rsidRDefault="00E323E9" w:rsidP="00E323E9">
      <w:pPr>
        <w:jc w:val="both"/>
        <w:rPr>
          <w:sz w:val="26"/>
          <w:szCs w:val="26"/>
        </w:rPr>
      </w:pPr>
      <w:r w:rsidRPr="00920B5B">
        <w:rPr>
          <w:sz w:val="26"/>
          <w:szCs w:val="26"/>
        </w:rPr>
        <w:t xml:space="preserve">The California Public Employees’ Pension Reform Act (PEPRA), which took effect in January 2013, </w:t>
      </w:r>
      <w:r w:rsidR="00886FDD">
        <w:rPr>
          <w:sz w:val="26"/>
          <w:szCs w:val="26"/>
        </w:rPr>
        <w:t>included a vast array of amendments to the Public Employees’ Retirement Law (PERL).  Last month</w:t>
      </w:r>
      <w:r w:rsidR="00FF2EEA">
        <w:rPr>
          <w:sz w:val="26"/>
          <w:szCs w:val="26"/>
        </w:rPr>
        <w:t>,</w:t>
      </w:r>
      <w:r w:rsidR="00886FDD">
        <w:rPr>
          <w:sz w:val="26"/>
          <w:szCs w:val="26"/>
        </w:rPr>
        <w:t xml:space="preserve"> </w:t>
      </w:r>
      <w:r w:rsidR="00025AE8">
        <w:rPr>
          <w:sz w:val="26"/>
          <w:szCs w:val="26"/>
        </w:rPr>
        <w:t xml:space="preserve">our newsletter </w:t>
      </w:r>
      <w:r w:rsidR="00886FDD">
        <w:rPr>
          <w:sz w:val="26"/>
          <w:szCs w:val="26"/>
        </w:rPr>
        <w:t xml:space="preserve">looked at one aspect of those changes – </w:t>
      </w:r>
      <w:r w:rsidRPr="00920B5B">
        <w:rPr>
          <w:sz w:val="26"/>
          <w:szCs w:val="26"/>
        </w:rPr>
        <w:t>what kind</w:t>
      </w:r>
      <w:r w:rsidR="008A4667" w:rsidRPr="00920B5B">
        <w:rPr>
          <w:sz w:val="26"/>
          <w:szCs w:val="26"/>
        </w:rPr>
        <w:t>s</w:t>
      </w:r>
      <w:r w:rsidRPr="00920B5B">
        <w:rPr>
          <w:sz w:val="26"/>
          <w:szCs w:val="26"/>
        </w:rPr>
        <w:t xml:space="preserve"> of income </w:t>
      </w:r>
      <w:r w:rsidR="008A4667" w:rsidRPr="00920B5B">
        <w:rPr>
          <w:sz w:val="26"/>
          <w:szCs w:val="26"/>
        </w:rPr>
        <w:t>are</w:t>
      </w:r>
      <w:r w:rsidRPr="00920B5B">
        <w:rPr>
          <w:sz w:val="26"/>
          <w:szCs w:val="26"/>
        </w:rPr>
        <w:t xml:space="preserve"> considered “pensionable.”  </w:t>
      </w:r>
      <w:r w:rsidR="00886FDD">
        <w:rPr>
          <w:sz w:val="26"/>
          <w:szCs w:val="26"/>
        </w:rPr>
        <w:t xml:space="preserve">But another big change in the law concerns </w:t>
      </w:r>
      <w:r w:rsidR="003D1933">
        <w:rPr>
          <w:sz w:val="26"/>
          <w:szCs w:val="26"/>
        </w:rPr>
        <w:t xml:space="preserve">the funding sources for </w:t>
      </w:r>
      <w:r w:rsidR="00886FDD">
        <w:rPr>
          <w:sz w:val="26"/>
          <w:szCs w:val="26"/>
        </w:rPr>
        <w:t>your defined benefit pension</w:t>
      </w:r>
      <w:r w:rsidR="003D1933">
        <w:rPr>
          <w:sz w:val="26"/>
          <w:szCs w:val="26"/>
        </w:rPr>
        <w:t>, and specifically how</w:t>
      </w:r>
      <w:r w:rsidR="00886FDD">
        <w:rPr>
          <w:sz w:val="26"/>
          <w:szCs w:val="26"/>
        </w:rPr>
        <w:t xml:space="preserve"> </w:t>
      </w:r>
      <w:r w:rsidR="00025AE8">
        <w:rPr>
          <w:sz w:val="26"/>
          <w:szCs w:val="26"/>
        </w:rPr>
        <w:t xml:space="preserve">the system accounts for the </w:t>
      </w:r>
      <w:r w:rsidR="00886FDD">
        <w:rPr>
          <w:sz w:val="26"/>
          <w:szCs w:val="26"/>
        </w:rPr>
        <w:t>costs.</w:t>
      </w:r>
    </w:p>
    <w:p w14:paraId="773A9EF7" w14:textId="39E1CCD0" w:rsidR="003D1933" w:rsidRDefault="00886FDD" w:rsidP="00E323E9">
      <w:pPr>
        <w:jc w:val="both"/>
        <w:rPr>
          <w:sz w:val="26"/>
          <w:szCs w:val="26"/>
        </w:rPr>
      </w:pPr>
      <w:r>
        <w:rPr>
          <w:sz w:val="26"/>
          <w:szCs w:val="26"/>
        </w:rPr>
        <w:t xml:space="preserve">Historically, under the PERL, the pension system charged the </w:t>
      </w:r>
      <w:r w:rsidR="007A1EA1">
        <w:rPr>
          <w:sz w:val="26"/>
          <w:szCs w:val="26"/>
        </w:rPr>
        <w:t>Agency</w:t>
      </w:r>
      <w:r>
        <w:rPr>
          <w:sz w:val="26"/>
          <w:szCs w:val="26"/>
        </w:rPr>
        <w:t xml:space="preserve"> a fluctuating percentage based on an employee’s pay.  </w:t>
      </w:r>
      <w:r w:rsidR="003D1933">
        <w:rPr>
          <w:sz w:val="26"/>
          <w:szCs w:val="26"/>
        </w:rPr>
        <w:t xml:space="preserve">Some pension funds – including CalPERS – were “Super-funded” about 15-20 years ago, and the pension system reduced the employer rate to 0%.  The rate has skyrocketed in the wake of the Great Recession, and </w:t>
      </w:r>
      <w:r w:rsidR="006C038B">
        <w:rPr>
          <w:sz w:val="26"/>
          <w:szCs w:val="26"/>
        </w:rPr>
        <w:t xml:space="preserve">today </w:t>
      </w:r>
      <w:r w:rsidR="003D1933">
        <w:rPr>
          <w:sz w:val="26"/>
          <w:szCs w:val="26"/>
        </w:rPr>
        <w:t>it’s not uncommon to see an employer</w:t>
      </w:r>
      <w:r w:rsidR="00787C23">
        <w:rPr>
          <w:sz w:val="26"/>
          <w:szCs w:val="26"/>
        </w:rPr>
        <w:t>’s</w:t>
      </w:r>
      <w:r w:rsidR="003D1933">
        <w:rPr>
          <w:sz w:val="26"/>
          <w:szCs w:val="26"/>
        </w:rPr>
        <w:t xml:space="preserve"> rate for local “Miscellaneous Members” (local public agency employees who are not deemed public safety) at around </w:t>
      </w:r>
      <w:r w:rsidR="006C038B">
        <w:rPr>
          <w:sz w:val="26"/>
          <w:szCs w:val="26"/>
        </w:rPr>
        <w:t>15</w:t>
      </w:r>
      <w:r w:rsidR="003D1933">
        <w:rPr>
          <w:sz w:val="26"/>
          <w:szCs w:val="26"/>
        </w:rPr>
        <w:t>-30% of salary/wages.</w:t>
      </w:r>
    </w:p>
    <w:p w14:paraId="43A1114A" w14:textId="76426FC3" w:rsidR="003D1933" w:rsidRDefault="00886FDD" w:rsidP="00E323E9">
      <w:pPr>
        <w:jc w:val="both"/>
        <w:rPr>
          <w:sz w:val="26"/>
          <w:szCs w:val="26"/>
        </w:rPr>
      </w:pPr>
      <w:r>
        <w:rPr>
          <w:sz w:val="26"/>
          <w:szCs w:val="26"/>
        </w:rPr>
        <w:t>The system also charge</w:t>
      </w:r>
      <w:r w:rsidR="003D1933">
        <w:rPr>
          <w:sz w:val="26"/>
          <w:szCs w:val="26"/>
        </w:rPr>
        <w:t>s</w:t>
      </w:r>
      <w:r>
        <w:rPr>
          <w:sz w:val="26"/>
          <w:szCs w:val="26"/>
        </w:rPr>
        <w:t xml:space="preserve"> a member contribution, which </w:t>
      </w:r>
      <w:r w:rsidR="003D1933">
        <w:rPr>
          <w:sz w:val="26"/>
          <w:szCs w:val="26"/>
        </w:rPr>
        <w:t>i</w:t>
      </w:r>
      <w:r>
        <w:rPr>
          <w:sz w:val="26"/>
          <w:szCs w:val="26"/>
        </w:rPr>
        <w:t xml:space="preserve">s </w:t>
      </w:r>
      <w:r w:rsidR="00186408">
        <w:rPr>
          <w:sz w:val="26"/>
          <w:szCs w:val="26"/>
        </w:rPr>
        <w:t xml:space="preserve">a </w:t>
      </w:r>
      <w:r>
        <w:rPr>
          <w:sz w:val="26"/>
          <w:szCs w:val="26"/>
        </w:rPr>
        <w:t xml:space="preserve">fixed </w:t>
      </w:r>
      <w:r w:rsidR="003D1933">
        <w:rPr>
          <w:sz w:val="26"/>
          <w:szCs w:val="26"/>
        </w:rPr>
        <w:t xml:space="preserve">percentage of an employee’s pay.  For Miscellaneous Members, the percentage is fixed at either 7% or 8%, depending on </w:t>
      </w:r>
      <w:r w:rsidR="00025AE8">
        <w:rPr>
          <w:sz w:val="26"/>
          <w:szCs w:val="26"/>
        </w:rPr>
        <w:t>your</w:t>
      </w:r>
      <w:r w:rsidR="003D1933">
        <w:rPr>
          <w:sz w:val="26"/>
          <w:szCs w:val="26"/>
        </w:rPr>
        <w:t xml:space="preserve"> pension formula. </w:t>
      </w:r>
      <w:r w:rsidR="006C038B">
        <w:rPr>
          <w:sz w:val="26"/>
          <w:szCs w:val="26"/>
        </w:rPr>
        <w:t xml:space="preserve"> Prior to PEPRA, it was very common to negotiate </w:t>
      </w:r>
      <w:r w:rsidR="00FF2EEA">
        <w:rPr>
          <w:sz w:val="26"/>
          <w:szCs w:val="26"/>
        </w:rPr>
        <w:t xml:space="preserve">for the Agency </w:t>
      </w:r>
      <w:r w:rsidR="006C038B">
        <w:rPr>
          <w:sz w:val="26"/>
          <w:szCs w:val="26"/>
        </w:rPr>
        <w:t xml:space="preserve">to </w:t>
      </w:r>
      <w:r w:rsidR="00FF2EEA">
        <w:rPr>
          <w:sz w:val="26"/>
          <w:szCs w:val="26"/>
        </w:rPr>
        <w:t xml:space="preserve">pay </w:t>
      </w:r>
      <w:r w:rsidR="006C038B">
        <w:rPr>
          <w:sz w:val="26"/>
          <w:szCs w:val="26"/>
        </w:rPr>
        <w:t>this member contribution.  There’s a name for it – EPMC, or Employer Paid Member Contribution.  You could even negotiate to have the Agency contract with the pension system to have the EPMC reported as special compensation, and th</w:t>
      </w:r>
      <w:r w:rsidR="00025AE8">
        <w:rPr>
          <w:sz w:val="26"/>
          <w:szCs w:val="26"/>
        </w:rPr>
        <w:t>us</w:t>
      </w:r>
      <w:r w:rsidR="006C038B">
        <w:rPr>
          <w:sz w:val="26"/>
          <w:szCs w:val="26"/>
        </w:rPr>
        <w:t xml:space="preserve"> include</w:t>
      </w:r>
      <w:r w:rsidR="00025AE8">
        <w:rPr>
          <w:sz w:val="26"/>
          <w:szCs w:val="26"/>
        </w:rPr>
        <w:t>d</w:t>
      </w:r>
      <w:r w:rsidR="006C038B">
        <w:rPr>
          <w:sz w:val="26"/>
          <w:szCs w:val="26"/>
        </w:rPr>
        <w:t xml:space="preserve"> in what’s considered pensionable</w:t>
      </w:r>
      <w:r w:rsidR="007A1EA1">
        <w:rPr>
          <w:sz w:val="26"/>
          <w:szCs w:val="26"/>
        </w:rPr>
        <w:t>,</w:t>
      </w:r>
      <w:r w:rsidR="006C038B">
        <w:rPr>
          <w:sz w:val="26"/>
          <w:szCs w:val="26"/>
        </w:rPr>
        <w:t xml:space="preserve"> </w:t>
      </w:r>
      <w:r w:rsidR="007A1EA1">
        <w:rPr>
          <w:sz w:val="26"/>
          <w:szCs w:val="26"/>
        </w:rPr>
        <w:t xml:space="preserve">on top of </w:t>
      </w:r>
      <w:r w:rsidR="006C038B">
        <w:rPr>
          <w:sz w:val="26"/>
          <w:szCs w:val="26"/>
        </w:rPr>
        <w:t xml:space="preserve">your regular rate of pay. </w:t>
      </w:r>
    </w:p>
    <w:p w14:paraId="3C2D6C47" w14:textId="514B88D9" w:rsidR="00886FDD" w:rsidRDefault="003D1933" w:rsidP="00E323E9">
      <w:pPr>
        <w:jc w:val="both"/>
        <w:rPr>
          <w:sz w:val="26"/>
          <w:szCs w:val="26"/>
        </w:rPr>
      </w:pPr>
      <w:r>
        <w:rPr>
          <w:sz w:val="26"/>
          <w:szCs w:val="26"/>
        </w:rPr>
        <w:lastRenderedPageBreak/>
        <w:t xml:space="preserve">In addition to this revenue, the pension system invests money </w:t>
      </w:r>
      <w:r w:rsidR="006C038B">
        <w:rPr>
          <w:sz w:val="26"/>
          <w:szCs w:val="26"/>
        </w:rPr>
        <w:t xml:space="preserve">– in stocks, bonds, real estate, commodities, etc., – </w:t>
      </w:r>
      <w:r>
        <w:rPr>
          <w:sz w:val="26"/>
          <w:szCs w:val="26"/>
        </w:rPr>
        <w:t xml:space="preserve">and earns a </w:t>
      </w:r>
      <w:r w:rsidR="006C038B">
        <w:rPr>
          <w:sz w:val="26"/>
          <w:szCs w:val="26"/>
        </w:rPr>
        <w:t xml:space="preserve">rate of </w:t>
      </w:r>
      <w:r>
        <w:rPr>
          <w:sz w:val="26"/>
          <w:szCs w:val="26"/>
        </w:rPr>
        <w:t xml:space="preserve">return on that investment.  The investment return is a third source of revenue to </w:t>
      </w:r>
      <w:r w:rsidR="006C038B">
        <w:rPr>
          <w:sz w:val="26"/>
          <w:szCs w:val="26"/>
        </w:rPr>
        <w:t xml:space="preserve">help </w:t>
      </w:r>
      <w:r>
        <w:rPr>
          <w:sz w:val="26"/>
          <w:szCs w:val="26"/>
        </w:rPr>
        <w:t>pay pension costs</w:t>
      </w:r>
      <w:r w:rsidR="006C038B">
        <w:rPr>
          <w:sz w:val="26"/>
          <w:szCs w:val="26"/>
        </w:rPr>
        <w:t xml:space="preserve"> for current and future retirees</w:t>
      </w:r>
      <w:r>
        <w:rPr>
          <w:sz w:val="26"/>
          <w:szCs w:val="26"/>
        </w:rPr>
        <w:t>.</w:t>
      </w:r>
      <w:r w:rsidR="007A1EA1">
        <w:rPr>
          <w:sz w:val="26"/>
          <w:szCs w:val="26"/>
        </w:rPr>
        <w:t xml:space="preserve">  There’s been a lot of </w:t>
      </w:r>
      <w:r w:rsidR="00331F57">
        <w:rPr>
          <w:sz w:val="26"/>
          <w:szCs w:val="26"/>
        </w:rPr>
        <w:t xml:space="preserve">public </w:t>
      </w:r>
      <w:r w:rsidR="007A1EA1">
        <w:rPr>
          <w:sz w:val="26"/>
          <w:szCs w:val="26"/>
        </w:rPr>
        <w:t xml:space="preserve">debate </w:t>
      </w:r>
      <w:r w:rsidR="00331F57">
        <w:rPr>
          <w:sz w:val="26"/>
          <w:szCs w:val="26"/>
        </w:rPr>
        <w:t>about</w:t>
      </w:r>
      <w:r w:rsidR="007A1EA1">
        <w:rPr>
          <w:sz w:val="26"/>
          <w:szCs w:val="26"/>
        </w:rPr>
        <w:t xml:space="preserve"> whether pension systems are forecasting a reasonable rate of return.  If the forecast turns out to be much higher than what the</w:t>
      </w:r>
      <w:r w:rsidR="00E5301B">
        <w:rPr>
          <w:sz w:val="26"/>
          <w:szCs w:val="26"/>
        </w:rPr>
        <w:t xml:space="preserve"> actual</w:t>
      </w:r>
      <w:r w:rsidR="007A1EA1">
        <w:rPr>
          <w:sz w:val="26"/>
          <w:szCs w:val="26"/>
        </w:rPr>
        <w:t xml:space="preserve"> return</w:t>
      </w:r>
      <w:r w:rsidR="00E5301B">
        <w:rPr>
          <w:sz w:val="26"/>
          <w:szCs w:val="26"/>
        </w:rPr>
        <w:t>s</w:t>
      </w:r>
      <w:r w:rsidR="007A1EA1">
        <w:rPr>
          <w:sz w:val="26"/>
          <w:szCs w:val="26"/>
        </w:rPr>
        <w:t xml:space="preserve"> </w:t>
      </w:r>
      <w:r w:rsidR="00E5301B">
        <w:rPr>
          <w:sz w:val="26"/>
          <w:szCs w:val="26"/>
        </w:rPr>
        <w:t>are</w:t>
      </w:r>
      <w:r w:rsidR="007A1EA1">
        <w:rPr>
          <w:sz w:val="26"/>
          <w:szCs w:val="26"/>
        </w:rPr>
        <w:t xml:space="preserve">, at least on a </w:t>
      </w:r>
      <w:r w:rsidR="00F964EA">
        <w:rPr>
          <w:sz w:val="26"/>
          <w:szCs w:val="26"/>
        </w:rPr>
        <w:t>long-term</w:t>
      </w:r>
      <w:r w:rsidR="007A1EA1">
        <w:rPr>
          <w:sz w:val="26"/>
          <w:szCs w:val="26"/>
        </w:rPr>
        <w:t xml:space="preserve"> basis, </w:t>
      </w:r>
      <w:r w:rsidR="00F964EA">
        <w:rPr>
          <w:sz w:val="26"/>
          <w:szCs w:val="26"/>
        </w:rPr>
        <w:t>the funding status could drop to levels that require a higher contribution from the Agency going forward</w:t>
      </w:r>
      <w:r w:rsidR="00E5301B">
        <w:rPr>
          <w:sz w:val="26"/>
          <w:szCs w:val="26"/>
        </w:rPr>
        <w:t>, above 30% for example,</w:t>
      </w:r>
      <w:r w:rsidR="00F964EA">
        <w:rPr>
          <w:sz w:val="26"/>
          <w:szCs w:val="26"/>
        </w:rPr>
        <w:t xml:space="preserve"> to make up the difference.  But if the forecast is too conservative, the pension system could find itself at a funding status closer to 100%.  If this occurs, it’s likely the employer contribution would fall back down to more normal levels (around 15-18%).</w:t>
      </w:r>
      <w:r>
        <w:rPr>
          <w:sz w:val="26"/>
          <w:szCs w:val="26"/>
        </w:rPr>
        <w:t xml:space="preserve"> </w:t>
      </w:r>
    </w:p>
    <w:p w14:paraId="3CF9BC03" w14:textId="293E2136" w:rsidR="003D1933" w:rsidRDefault="003D1933" w:rsidP="00E323E9">
      <w:pPr>
        <w:jc w:val="both"/>
        <w:rPr>
          <w:sz w:val="26"/>
          <w:szCs w:val="26"/>
        </w:rPr>
      </w:pPr>
      <w:r>
        <w:rPr>
          <w:sz w:val="26"/>
          <w:szCs w:val="26"/>
        </w:rPr>
        <w:t>PEPRA largely changed this</w:t>
      </w:r>
      <w:r w:rsidR="00E5301B">
        <w:rPr>
          <w:sz w:val="26"/>
          <w:szCs w:val="26"/>
        </w:rPr>
        <w:t xml:space="preserve">, at least </w:t>
      </w:r>
      <w:r>
        <w:rPr>
          <w:sz w:val="26"/>
          <w:szCs w:val="26"/>
        </w:rPr>
        <w:t>for employees hired after January 1,</w:t>
      </w:r>
      <w:r>
        <w:rPr>
          <w:sz w:val="26"/>
          <w:szCs w:val="26"/>
          <w:vertAlign w:val="superscript"/>
        </w:rPr>
        <w:t xml:space="preserve"> </w:t>
      </w:r>
      <w:r>
        <w:rPr>
          <w:sz w:val="26"/>
          <w:szCs w:val="26"/>
        </w:rPr>
        <w:t xml:space="preserve">2013.  These </w:t>
      </w:r>
      <w:r w:rsidR="00027DEF">
        <w:rPr>
          <w:sz w:val="26"/>
          <w:szCs w:val="26"/>
        </w:rPr>
        <w:t>“</w:t>
      </w:r>
      <w:r>
        <w:rPr>
          <w:sz w:val="26"/>
          <w:szCs w:val="26"/>
        </w:rPr>
        <w:t>New Members</w:t>
      </w:r>
      <w:r w:rsidR="00027DEF">
        <w:rPr>
          <w:sz w:val="26"/>
          <w:szCs w:val="26"/>
        </w:rPr>
        <w:t>”</w:t>
      </w:r>
      <w:r>
        <w:rPr>
          <w:sz w:val="26"/>
          <w:szCs w:val="26"/>
        </w:rPr>
        <w:t xml:space="preserve"> come in at a reduced 2% at 62 formula, fixed by law.  They also pay, and have been paying since January 1,</w:t>
      </w:r>
      <w:r>
        <w:rPr>
          <w:sz w:val="26"/>
          <w:szCs w:val="26"/>
          <w:vertAlign w:val="superscript"/>
        </w:rPr>
        <w:t xml:space="preserve"> </w:t>
      </w:r>
      <w:r>
        <w:rPr>
          <w:sz w:val="26"/>
          <w:szCs w:val="26"/>
        </w:rPr>
        <w:t xml:space="preserve">2013, 50% of “normal cost.”  </w:t>
      </w:r>
      <w:r w:rsidR="00F964EA">
        <w:rPr>
          <w:sz w:val="26"/>
          <w:szCs w:val="26"/>
        </w:rPr>
        <w:t xml:space="preserve">This is around 6.5% of salary/wages.  </w:t>
      </w:r>
      <w:r>
        <w:rPr>
          <w:sz w:val="26"/>
          <w:szCs w:val="26"/>
        </w:rPr>
        <w:t xml:space="preserve">The Agency pays the other 50%, </w:t>
      </w:r>
      <w:r w:rsidR="009E00B5">
        <w:rPr>
          <w:sz w:val="26"/>
          <w:szCs w:val="26"/>
        </w:rPr>
        <w:t>and</w:t>
      </w:r>
      <w:r>
        <w:rPr>
          <w:sz w:val="26"/>
          <w:szCs w:val="26"/>
        </w:rPr>
        <w:t xml:space="preserve"> </w:t>
      </w:r>
      <w:r w:rsidR="009E00B5">
        <w:rPr>
          <w:sz w:val="26"/>
          <w:szCs w:val="26"/>
        </w:rPr>
        <w:t xml:space="preserve">other </w:t>
      </w:r>
      <w:r>
        <w:rPr>
          <w:sz w:val="26"/>
          <w:szCs w:val="26"/>
        </w:rPr>
        <w:t xml:space="preserve">costs </w:t>
      </w:r>
      <w:r w:rsidR="009E00B5">
        <w:rPr>
          <w:sz w:val="26"/>
          <w:szCs w:val="26"/>
        </w:rPr>
        <w:t>and charges</w:t>
      </w:r>
      <w:r>
        <w:rPr>
          <w:sz w:val="26"/>
          <w:szCs w:val="26"/>
        </w:rPr>
        <w:t xml:space="preserve">. </w:t>
      </w:r>
    </w:p>
    <w:p w14:paraId="7A48687C" w14:textId="6A09EE2D" w:rsidR="00886FDD" w:rsidRDefault="00886FDD" w:rsidP="00E323E9">
      <w:pPr>
        <w:jc w:val="both"/>
        <w:rPr>
          <w:sz w:val="26"/>
          <w:szCs w:val="26"/>
        </w:rPr>
      </w:pPr>
      <w:r>
        <w:rPr>
          <w:sz w:val="26"/>
          <w:szCs w:val="26"/>
        </w:rPr>
        <w:t xml:space="preserve">For “Classic Members” </w:t>
      </w:r>
      <w:r w:rsidR="00E5301B">
        <w:rPr>
          <w:sz w:val="26"/>
          <w:szCs w:val="26"/>
        </w:rPr>
        <w:t>(largely those</w:t>
      </w:r>
      <w:r>
        <w:rPr>
          <w:sz w:val="26"/>
          <w:szCs w:val="26"/>
        </w:rPr>
        <w:t xml:space="preserve"> hired by a public agency prior to January 1</w:t>
      </w:r>
      <w:r w:rsidR="006C038B">
        <w:rPr>
          <w:sz w:val="26"/>
          <w:szCs w:val="26"/>
        </w:rPr>
        <w:t>,</w:t>
      </w:r>
      <w:r>
        <w:rPr>
          <w:sz w:val="26"/>
          <w:szCs w:val="26"/>
          <w:vertAlign w:val="superscript"/>
        </w:rPr>
        <w:t xml:space="preserve"> </w:t>
      </w:r>
      <w:r>
        <w:rPr>
          <w:sz w:val="26"/>
          <w:szCs w:val="26"/>
        </w:rPr>
        <w:t>2013</w:t>
      </w:r>
      <w:r w:rsidR="00E5301B">
        <w:rPr>
          <w:sz w:val="26"/>
          <w:szCs w:val="26"/>
        </w:rPr>
        <w:t>)</w:t>
      </w:r>
      <w:r>
        <w:rPr>
          <w:sz w:val="26"/>
          <w:szCs w:val="26"/>
        </w:rPr>
        <w:t xml:space="preserve">, </w:t>
      </w:r>
      <w:r w:rsidR="006C038B">
        <w:rPr>
          <w:sz w:val="26"/>
          <w:szCs w:val="26"/>
        </w:rPr>
        <w:t>the funding</w:t>
      </w:r>
      <w:r w:rsidR="00E5301B">
        <w:rPr>
          <w:sz w:val="26"/>
          <w:szCs w:val="26"/>
        </w:rPr>
        <w:t xml:space="preserve"> sources are</w:t>
      </w:r>
      <w:r w:rsidR="006C038B">
        <w:rPr>
          <w:sz w:val="26"/>
          <w:szCs w:val="26"/>
        </w:rPr>
        <w:t xml:space="preserve"> </w:t>
      </w:r>
      <w:r w:rsidR="00E5301B">
        <w:rPr>
          <w:sz w:val="26"/>
          <w:szCs w:val="26"/>
        </w:rPr>
        <w:t>pretty much</w:t>
      </w:r>
      <w:r w:rsidR="006C038B">
        <w:rPr>
          <w:sz w:val="26"/>
          <w:szCs w:val="26"/>
        </w:rPr>
        <w:t xml:space="preserve"> the same as it was before the PEPRA.  But there</w:t>
      </w:r>
      <w:r w:rsidR="00186408">
        <w:rPr>
          <w:sz w:val="26"/>
          <w:szCs w:val="26"/>
        </w:rPr>
        <w:t xml:space="preserve"> are</w:t>
      </w:r>
      <w:r w:rsidR="006C038B">
        <w:rPr>
          <w:sz w:val="26"/>
          <w:szCs w:val="26"/>
        </w:rPr>
        <w:t xml:space="preserve"> a few twists.  </w:t>
      </w:r>
      <w:r w:rsidR="00186408">
        <w:rPr>
          <w:sz w:val="26"/>
          <w:szCs w:val="26"/>
        </w:rPr>
        <w:t xml:space="preserve">One is that </w:t>
      </w:r>
      <w:r w:rsidR="0043301A">
        <w:rPr>
          <w:sz w:val="26"/>
          <w:szCs w:val="26"/>
        </w:rPr>
        <w:t>the</w:t>
      </w:r>
      <w:r w:rsidR="00FF2EEA">
        <w:rPr>
          <w:sz w:val="26"/>
          <w:szCs w:val="26"/>
        </w:rPr>
        <w:t xml:space="preserve"> law sets a goal, non-binding, </w:t>
      </w:r>
      <w:r w:rsidR="0043301A">
        <w:rPr>
          <w:sz w:val="26"/>
          <w:szCs w:val="26"/>
        </w:rPr>
        <w:t xml:space="preserve">that classic members pay their full member contribution by January 1, 2018.  </w:t>
      </w:r>
      <w:r w:rsidR="00E5301B">
        <w:rPr>
          <w:sz w:val="26"/>
          <w:szCs w:val="26"/>
        </w:rPr>
        <w:t>Second, b</w:t>
      </w:r>
      <w:r w:rsidR="006C038B">
        <w:rPr>
          <w:sz w:val="26"/>
          <w:szCs w:val="26"/>
        </w:rPr>
        <w:t>eginning on January 1, 2018, the Agency can unilaterally require classic members to pay 50% of the total normal cost of the pension benefit, up to an 8% contribution rate for miscellaneous members.  The cap is 12% for police and fire.  This is not automatic – the Agency must still negotiate with the Association in good faith and complete the impasse procedures, including mediation and fact finding.</w:t>
      </w:r>
      <w:r w:rsidR="0043301A">
        <w:rPr>
          <w:sz w:val="26"/>
          <w:szCs w:val="26"/>
        </w:rPr>
        <w:t xml:space="preserve">  But the Agency can impose it in the absence of an agreement.</w:t>
      </w:r>
      <w:r w:rsidR="00E5301B">
        <w:rPr>
          <w:sz w:val="26"/>
          <w:szCs w:val="26"/>
        </w:rPr>
        <w:t xml:space="preserve">  As employees pay their full member contribution, the EPMC is reduced to zero.</w:t>
      </w:r>
    </w:p>
    <w:p w14:paraId="796B2DD5" w14:textId="4D1CCFD6" w:rsidR="004D6895" w:rsidRDefault="00E5301B" w:rsidP="00E323E9">
      <w:pPr>
        <w:jc w:val="both"/>
        <w:rPr>
          <w:sz w:val="26"/>
          <w:szCs w:val="26"/>
        </w:rPr>
      </w:pPr>
      <w:r>
        <w:rPr>
          <w:sz w:val="26"/>
          <w:szCs w:val="26"/>
        </w:rPr>
        <w:t>Third</w:t>
      </w:r>
      <w:r w:rsidR="004D6895">
        <w:rPr>
          <w:sz w:val="26"/>
          <w:szCs w:val="26"/>
        </w:rPr>
        <w:t xml:space="preserve">, the PEPRA allows the Agency and employees to agree to share the cost of the </w:t>
      </w:r>
      <w:r w:rsidR="004D6895" w:rsidRPr="0043301A">
        <w:rPr>
          <w:i/>
          <w:sz w:val="26"/>
          <w:szCs w:val="26"/>
          <w:u w:val="single"/>
        </w:rPr>
        <w:t>employer</w:t>
      </w:r>
      <w:r w:rsidR="004D6895">
        <w:rPr>
          <w:sz w:val="26"/>
          <w:szCs w:val="26"/>
        </w:rPr>
        <w:t xml:space="preserve"> contribution.  These contributions are paid in addition to the member contribution rate.  These “cost-sharing” agreements can differ by bargaining unit.  But </w:t>
      </w:r>
      <w:r w:rsidR="0043301A">
        <w:rPr>
          <w:sz w:val="26"/>
          <w:szCs w:val="26"/>
        </w:rPr>
        <w:t xml:space="preserve">the Agency </w:t>
      </w:r>
      <w:r w:rsidR="004D6895">
        <w:rPr>
          <w:sz w:val="26"/>
          <w:szCs w:val="26"/>
        </w:rPr>
        <w:t>cannot impose</w:t>
      </w:r>
      <w:r w:rsidR="0043301A">
        <w:rPr>
          <w:sz w:val="26"/>
          <w:szCs w:val="26"/>
        </w:rPr>
        <w:t xml:space="preserve"> it</w:t>
      </w:r>
      <w:r w:rsidR="004D6895">
        <w:rPr>
          <w:sz w:val="26"/>
          <w:szCs w:val="26"/>
        </w:rPr>
        <w:t xml:space="preserve"> unilaterally.  For members represented by a public employees</w:t>
      </w:r>
      <w:r w:rsidR="00F964EA">
        <w:rPr>
          <w:sz w:val="26"/>
          <w:szCs w:val="26"/>
        </w:rPr>
        <w:t>’</w:t>
      </w:r>
      <w:r w:rsidR="004D6895">
        <w:rPr>
          <w:sz w:val="26"/>
          <w:szCs w:val="26"/>
        </w:rPr>
        <w:t xml:space="preserve"> association, “cost-sharing” can only occur through a validly executed labor contract or memorandum of understanding (MOU).  This applies to both New Members and Classic Members</w:t>
      </w:r>
      <w:r w:rsidR="00F964EA">
        <w:rPr>
          <w:sz w:val="26"/>
          <w:szCs w:val="26"/>
        </w:rPr>
        <w:t xml:space="preserve"> – the Agency and Association can agree that both </w:t>
      </w:r>
      <w:r w:rsidR="0043301A">
        <w:rPr>
          <w:sz w:val="26"/>
          <w:szCs w:val="26"/>
        </w:rPr>
        <w:t xml:space="preserve">sets of employees </w:t>
      </w:r>
      <w:r w:rsidR="00F964EA">
        <w:rPr>
          <w:sz w:val="26"/>
          <w:szCs w:val="26"/>
        </w:rPr>
        <w:t>cost-share beyond the 6.5% or 8% that they’re already contributing</w:t>
      </w:r>
      <w:r w:rsidR="0043301A">
        <w:rPr>
          <w:sz w:val="26"/>
          <w:szCs w:val="26"/>
        </w:rPr>
        <w:t>, respectively</w:t>
      </w:r>
      <w:r w:rsidR="00F964EA">
        <w:rPr>
          <w:sz w:val="26"/>
          <w:szCs w:val="26"/>
        </w:rPr>
        <w:t>.</w:t>
      </w:r>
    </w:p>
    <w:p w14:paraId="05B8D96D" w14:textId="23E20ACD" w:rsidR="00F964EA" w:rsidRDefault="00F964EA" w:rsidP="00E323E9">
      <w:pPr>
        <w:jc w:val="both"/>
        <w:rPr>
          <w:sz w:val="26"/>
          <w:szCs w:val="26"/>
        </w:rPr>
      </w:pPr>
      <w:r>
        <w:rPr>
          <w:sz w:val="26"/>
          <w:szCs w:val="26"/>
        </w:rPr>
        <w:t xml:space="preserve">In most agencies these days, classic members are paying their full member contribution (7% or 8%) and new members are paying their 50% of </w:t>
      </w:r>
      <w:r w:rsidR="00186408">
        <w:rPr>
          <w:sz w:val="26"/>
          <w:szCs w:val="26"/>
        </w:rPr>
        <w:t xml:space="preserve">the </w:t>
      </w:r>
      <w:r>
        <w:rPr>
          <w:sz w:val="26"/>
          <w:szCs w:val="26"/>
        </w:rPr>
        <w:t>normal cost (about 6.5%).  In the last five years</w:t>
      </w:r>
      <w:r w:rsidR="00E5301B">
        <w:rPr>
          <w:sz w:val="26"/>
          <w:szCs w:val="26"/>
        </w:rPr>
        <w:t xml:space="preserve"> or so</w:t>
      </w:r>
      <w:r>
        <w:rPr>
          <w:sz w:val="26"/>
          <w:szCs w:val="26"/>
        </w:rPr>
        <w:t xml:space="preserve">, many </w:t>
      </w:r>
      <w:r w:rsidR="00E5301B">
        <w:rPr>
          <w:sz w:val="26"/>
          <w:szCs w:val="26"/>
        </w:rPr>
        <w:t>a</w:t>
      </w:r>
      <w:r>
        <w:rPr>
          <w:sz w:val="26"/>
          <w:szCs w:val="26"/>
        </w:rPr>
        <w:t xml:space="preserve">ssociations and </w:t>
      </w:r>
      <w:r w:rsidR="00E5301B">
        <w:rPr>
          <w:sz w:val="26"/>
          <w:szCs w:val="26"/>
        </w:rPr>
        <w:t>a</w:t>
      </w:r>
      <w:r>
        <w:rPr>
          <w:sz w:val="26"/>
          <w:szCs w:val="26"/>
        </w:rPr>
        <w:t xml:space="preserve">gencies have agreed to end the EPMC </w:t>
      </w:r>
      <w:r>
        <w:rPr>
          <w:sz w:val="26"/>
          <w:szCs w:val="26"/>
        </w:rPr>
        <w:lastRenderedPageBreak/>
        <w:t xml:space="preserve">benefit for classic members, often through MOUs that provide for salary/wage increases that equal or exceed the amount of the </w:t>
      </w:r>
      <w:r w:rsidR="00E5301B">
        <w:rPr>
          <w:sz w:val="26"/>
          <w:szCs w:val="26"/>
        </w:rPr>
        <w:t xml:space="preserve">increased </w:t>
      </w:r>
      <w:r>
        <w:rPr>
          <w:sz w:val="26"/>
          <w:szCs w:val="26"/>
        </w:rPr>
        <w:t xml:space="preserve">member contribution.  There are some </w:t>
      </w:r>
      <w:r w:rsidR="00E5301B">
        <w:rPr>
          <w:sz w:val="26"/>
          <w:szCs w:val="26"/>
        </w:rPr>
        <w:t>a</w:t>
      </w:r>
      <w:r>
        <w:rPr>
          <w:sz w:val="26"/>
          <w:szCs w:val="26"/>
        </w:rPr>
        <w:t xml:space="preserve">gencies where the EPMC has been maintained, but this is </w:t>
      </w:r>
      <w:r w:rsidR="00FF2EEA">
        <w:rPr>
          <w:sz w:val="26"/>
          <w:szCs w:val="26"/>
        </w:rPr>
        <w:t xml:space="preserve">now </w:t>
      </w:r>
      <w:r>
        <w:rPr>
          <w:sz w:val="26"/>
          <w:szCs w:val="26"/>
        </w:rPr>
        <w:t>a minority of jurisdictions</w:t>
      </w:r>
      <w:r w:rsidR="00E5301B">
        <w:rPr>
          <w:sz w:val="26"/>
          <w:szCs w:val="26"/>
        </w:rPr>
        <w:t>.</w:t>
      </w:r>
      <w:r>
        <w:rPr>
          <w:sz w:val="26"/>
          <w:szCs w:val="26"/>
        </w:rPr>
        <w:t xml:space="preserve"> </w:t>
      </w:r>
      <w:r w:rsidR="00E5301B">
        <w:rPr>
          <w:sz w:val="26"/>
          <w:szCs w:val="26"/>
        </w:rPr>
        <w:t xml:space="preserve"> T</w:t>
      </w:r>
      <w:r>
        <w:rPr>
          <w:sz w:val="26"/>
          <w:szCs w:val="26"/>
        </w:rPr>
        <w:t xml:space="preserve">here’s </w:t>
      </w:r>
      <w:r w:rsidR="00E5301B">
        <w:rPr>
          <w:sz w:val="26"/>
          <w:szCs w:val="26"/>
        </w:rPr>
        <w:t xml:space="preserve">also </w:t>
      </w:r>
      <w:r>
        <w:rPr>
          <w:sz w:val="26"/>
          <w:szCs w:val="26"/>
        </w:rPr>
        <w:t xml:space="preserve">great </w:t>
      </w:r>
      <w:r w:rsidR="00E5301B">
        <w:rPr>
          <w:sz w:val="26"/>
          <w:szCs w:val="26"/>
        </w:rPr>
        <w:t xml:space="preserve">political </w:t>
      </w:r>
      <w:r>
        <w:rPr>
          <w:sz w:val="26"/>
          <w:szCs w:val="26"/>
        </w:rPr>
        <w:t xml:space="preserve">pressure in these </w:t>
      </w:r>
      <w:r w:rsidR="0043301A">
        <w:rPr>
          <w:sz w:val="26"/>
          <w:szCs w:val="26"/>
        </w:rPr>
        <w:t>agencies to end this practice</w:t>
      </w:r>
      <w:r w:rsidR="00E5301B">
        <w:rPr>
          <w:sz w:val="26"/>
          <w:szCs w:val="26"/>
        </w:rPr>
        <w:t>,</w:t>
      </w:r>
      <w:r w:rsidR="0043301A">
        <w:rPr>
          <w:sz w:val="26"/>
          <w:szCs w:val="26"/>
        </w:rPr>
        <w:t xml:space="preserve"> even if it’s </w:t>
      </w:r>
      <w:r w:rsidR="00025AE8">
        <w:rPr>
          <w:sz w:val="26"/>
          <w:szCs w:val="26"/>
        </w:rPr>
        <w:t xml:space="preserve">not </w:t>
      </w:r>
      <w:r w:rsidR="0043301A">
        <w:rPr>
          <w:sz w:val="26"/>
          <w:szCs w:val="26"/>
        </w:rPr>
        <w:t>legally mandated</w:t>
      </w:r>
      <w:r w:rsidR="00025AE8">
        <w:rPr>
          <w:sz w:val="26"/>
          <w:szCs w:val="26"/>
        </w:rPr>
        <w:t>, technically-speaking</w:t>
      </w:r>
      <w:r>
        <w:rPr>
          <w:sz w:val="26"/>
          <w:szCs w:val="26"/>
        </w:rPr>
        <w:t>.</w:t>
      </w:r>
    </w:p>
    <w:p w14:paraId="294A7FB3" w14:textId="67A3B2CE" w:rsidR="0043301A" w:rsidRDefault="0043301A" w:rsidP="00E323E9">
      <w:pPr>
        <w:jc w:val="both"/>
        <w:rPr>
          <w:sz w:val="26"/>
          <w:szCs w:val="26"/>
        </w:rPr>
      </w:pPr>
      <w:r>
        <w:rPr>
          <w:sz w:val="26"/>
          <w:szCs w:val="26"/>
        </w:rPr>
        <w:t>Some agencies are even negotiating for cost-sharing agreements, particularly if they’ve seen their pension costs spike dramatically.  These agreements can be advantageous if the agency offers a pay increase that exceeds any cost-sharing.  But it’s generally not something that anyone wants to see become a new trend.</w:t>
      </w:r>
    </w:p>
    <w:p w14:paraId="58A6AFD2" w14:textId="0EDC3ED9" w:rsidR="00FF7969" w:rsidRDefault="00186408" w:rsidP="00920B5B">
      <w:pPr>
        <w:jc w:val="both"/>
        <w:rPr>
          <w:sz w:val="26"/>
          <w:szCs w:val="26"/>
        </w:rPr>
      </w:pPr>
      <w:r>
        <w:rPr>
          <w:sz w:val="26"/>
          <w:szCs w:val="26"/>
        </w:rPr>
        <w:t>U</w:t>
      </w:r>
      <w:r w:rsidR="00CF3E04">
        <w:rPr>
          <w:sz w:val="26"/>
          <w:szCs w:val="26"/>
        </w:rPr>
        <w:t>nder PEPRA</w:t>
      </w:r>
      <w:r>
        <w:rPr>
          <w:sz w:val="26"/>
          <w:szCs w:val="26"/>
        </w:rPr>
        <w:t>,</w:t>
      </w:r>
      <w:r w:rsidR="00CF3E04">
        <w:rPr>
          <w:sz w:val="26"/>
          <w:szCs w:val="26"/>
        </w:rPr>
        <w:t xml:space="preserve"> </w:t>
      </w:r>
      <w:r w:rsidR="0043301A">
        <w:rPr>
          <w:sz w:val="26"/>
          <w:szCs w:val="26"/>
        </w:rPr>
        <w:t xml:space="preserve">classic members </w:t>
      </w:r>
      <w:r>
        <w:rPr>
          <w:sz w:val="26"/>
          <w:szCs w:val="26"/>
        </w:rPr>
        <w:t>can</w:t>
      </w:r>
      <w:r w:rsidR="0043301A">
        <w:rPr>
          <w:sz w:val="26"/>
          <w:szCs w:val="26"/>
        </w:rPr>
        <w:t xml:space="preserve"> maintain their EPMC but still agree to cost sharing on the employer contribution.  Th</w:t>
      </w:r>
      <w:r w:rsidR="00FF7969">
        <w:rPr>
          <w:sz w:val="26"/>
          <w:szCs w:val="26"/>
        </w:rPr>
        <w:t xml:space="preserve">e member contributions get reported as </w:t>
      </w:r>
      <w:r w:rsidR="0043301A">
        <w:rPr>
          <w:sz w:val="26"/>
          <w:szCs w:val="26"/>
        </w:rPr>
        <w:t>“special compensation” –</w:t>
      </w:r>
      <w:r w:rsidR="00FF7969">
        <w:rPr>
          <w:sz w:val="26"/>
          <w:szCs w:val="26"/>
        </w:rPr>
        <w:t xml:space="preserve"> and are therefore included as pensionable compensation – and the agency gets employees to contribute a portion of their pay to pension costs.  Most agencies oppose this practice.  If the agency </w:t>
      </w:r>
      <w:r w:rsidR="00CF3E04">
        <w:rPr>
          <w:sz w:val="26"/>
          <w:szCs w:val="26"/>
        </w:rPr>
        <w:t>must</w:t>
      </w:r>
      <w:r w:rsidR="00FF7969">
        <w:rPr>
          <w:sz w:val="26"/>
          <w:szCs w:val="26"/>
        </w:rPr>
        <w:t xml:space="preserve"> impose terms in a subsequent MOU negotiation, it would lose the benefit of cost-sharing but still be on the hook for paying the EPMC.  For this reason, </w:t>
      </w:r>
      <w:r w:rsidR="00CF3E04">
        <w:rPr>
          <w:sz w:val="26"/>
          <w:szCs w:val="26"/>
        </w:rPr>
        <w:t xml:space="preserve">among many others, </w:t>
      </w:r>
      <w:r w:rsidR="00FF7969">
        <w:rPr>
          <w:sz w:val="26"/>
          <w:szCs w:val="26"/>
        </w:rPr>
        <w:t xml:space="preserve">agencies </w:t>
      </w:r>
      <w:r w:rsidR="00CF3E04">
        <w:rPr>
          <w:sz w:val="26"/>
          <w:szCs w:val="26"/>
        </w:rPr>
        <w:t xml:space="preserve">that do have this practice </w:t>
      </w:r>
      <w:r w:rsidR="00FF7969">
        <w:rPr>
          <w:sz w:val="26"/>
          <w:szCs w:val="26"/>
        </w:rPr>
        <w:t xml:space="preserve">are seeking to shift the payments from </w:t>
      </w:r>
      <w:r w:rsidR="00CF3E04">
        <w:rPr>
          <w:sz w:val="26"/>
          <w:szCs w:val="26"/>
        </w:rPr>
        <w:t xml:space="preserve">the </w:t>
      </w:r>
      <w:r w:rsidR="00FF7969">
        <w:rPr>
          <w:sz w:val="26"/>
          <w:szCs w:val="26"/>
        </w:rPr>
        <w:t xml:space="preserve">cost-sharing </w:t>
      </w:r>
      <w:r w:rsidR="00CF3E04">
        <w:rPr>
          <w:sz w:val="26"/>
          <w:szCs w:val="26"/>
        </w:rPr>
        <w:t xml:space="preserve">side </w:t>
      </w:r>
      <w:r w:rsidR="00FF7969">
        <w:rPr>
          <w:sz w:val="26"/>
          <w:szCs w:val="26"/>
        </w:rPr>
        <w:t>to the member contribution side.</w:t>
      </w:r>
    </w:p>
    <w:p w14:paraId="20150451" w14:textId="3DA08788" w:rsidR="00E323E9" w:rsidRPr="00920B5B" w:rsidRDefault="00FF7969" w:rsidP="00920B5B">
      <w:pPr>
        <w:jc w:val="both"/>
        <w:rPr>
          <w:sz w:val="26"/>
          <w:szCs w:val="26"/>
        </w:rPr>
      </w:pPr>
      <w:r>
        <w:rPr>
          <w:sz w:val="26"/>
          <w:szCs w:val="26"/>
        </w:rPr>
        <w:t>Regardless</w:t>
      </w:r>
      <w:r w:rsidR="00027DEF">
        <w:rPr>
          <w:sz w:val="26"/>
          <w:szCs w:val="26"/>
        </w:rPr>
        <w:t xml:space="preserve"> of how the pension costs are shared</w:t>
      </w:r>
      <w:r w:rsidR="00490A42">
        <w:rPr>
          <w:sz w:val="26"/>
          <w:szCs w:val="26"/>
        </w:rPr>
        <w:t xml:space="preserve"> at the local level</w:t>
      </w:r>
      <w:r>
        <w:rPr>
          <w:sz w:val="26"/>
          <w:szCs w:val="26"/>
        </w:rPr>
        <w:t xml:space="preserve">, public employees everywhere have </w:t>
      </w:r>
      <w:r w:rsidR="00027DEF">
        <w:rPr>
          <w:sz w:val="26"/>
          <w:szCs w:val="26"/>
        </w:rPr>
        <w:t>already</w:t>
      </w:r>
      <w:r>
        <w:rPr>
          <w:sz w:val="26"/>
          <w:szCs w:val="26"/>
        </w:rPr>
        <w:t xml:space="preserve"> see</w:t>
      </w:r>
      <w:r w:rsidR="00027DEF">
        <w:rPr>
          <w:sz w:val="26"/>
          <w:szCs w:val="26"/>
        </w:rPr>
        <w:t>n</w:t>
      </w:r>
      <w:r>
        <w:rPr>
          <w:sz w:val="26"/>
          <w:szCs w:val="26"/>
        </w:rPr>
        <w:t xml:space="preserve"> lasting impacts f</w:t>
      </w:r>
      <w:r w:rsidR="00490A42">
        <w:rPr>
          <w:sz w:val="26"/>
          <w:szCs w:val="26"/>
        </w:rPr>
        <w:t>rom</w:t>
      </w:r>
      <w:r>
        <w:rPr>
          <w:sz w:val="26"/>
          <w:szCs w:val="26"/>
        </w:rPr>
        <w:t xml:space="preserve"> some of </w:t>
      </w:r>
      <w:r w:rsidR="00490A42">
        <w:rPr>
          <w:sz w:val="26"/>
          <w:szCs w:val="26"/>
        </w:rPr>
        <w:t>PEPRA’s reforms,</w:t>
      </w:r>
      <w:r w:rsidR="00CF3E04">
        <w:rPr>
          <w:sz w:val="26"/>
          <w:szCs w:val="26"/>
        </w:rPr>
        <w:t xml:space="preserve"> including how defined benefit plans are funded</w:t>
      </w:r>
      <w:r w:rsidR="00490A42">
        <w:rPr>
          <w:sz w:val="26"/>
          <w:szCs w:val="26"/>
        </w:rPr>
        <w:t xml:space="preserve"> statewide</w:t>
      </w:r>
      <w:r>
        <w:rPr>
          <w:sz w:val="26"/>
          <w:szCs w:val="26"/>
        </w:rPr>
        <w:t xml:space="preserve">.  </w:t>
      </w:r>
      <w:r w:rsidR="00F06440">
        <w:rPr>
          <w:sz w:val="26"/>
          <w:szCs w:val="26"/>
        </w:rPr>
        <w:t>N</w:t>
      </w:r>
      <w:r>
        <w:rPr>
          <w:sz w:val="26"/>
          <w:szCs w:val="26"/>
        </w:rPr>
        <w:t xml:space="preserve">ew members – who have a less lucrative defined benefit and by law contribute 50% towards costs – are growing.  Classic members – </w:t>
      </w:r>
      <w:r w:rsidR="00F06440">
        <w:rPr>
          <w:sz w:val="26"/>
          <w:szCs w:val="26"/>
        </w:rPr>
        <w:t xml:space="preserve">who have a more lucrative defined benefit and, in some </w:t>
      </w:r>
      <w:r w:rsidR="00490A42">
        <w:rPr>
          <w:sz w:val="26"/>
          <w:szCs w:val="26"/>
        </w:rPr>
        <w:t>instances</w:t>
      </w:r>
      <w:r w:rsidR="00F06440">
        <w:rPr>
          <w:sz w:val="26"/>
          <w:szCs w:val="26"/>
        </w:rPr>
        <w:t xml:space="preserve">, </w:t>
      </w:r>
      <w:r>
        <w:rPr>
          <w:sz w:val="26"/>
          <w:szCs w:val="26"/>
        </w:rPr>
        <w:t xml:space="preserve">don’t contribute any of their pay towards pension costs – are gradually retiring and </w:t>
      </w:r>
      <w:r w:rsidR="00F06440">
        <w:rPr>
          <w:sz w:val="26"/>
          <w:szCs w:val="26"/>
        </w:rPr>
        <w:t xml:space="preserve">becoming a </w:t>
      </w:r>
      <w:r w:rsidR="00FF2EEA">
        <w:rPr>
          <w:sz w:val="26"/>
          <w:szCs w:val="26"/>
        </w:rPr>
        <w:t>smaller</w:t>
      </w:r>
      <w:r w:rsidR="00F06440">
        <w:rPr>
          <w:sz w:val="26"/>
          <w:szCs w:val="26"/>
        </w:rPr>
        <w:t xml:space="preserve"> percentage of overall association membership tha</w:t>
      </w:r>
      <w:r w:rsidR="00490A42">
        <w:rPr>
          <w:sz w:val="26"/>
          <w:szCs w:val="26"/>
        </w:rPr>
        <w:t>n</w:t>
      </w:r>
      <w:r w:rsidR="00F06440">
        <w:rPr>
          <w:sz w:val="26"/>
          <w:szCs w:val="26"/>
        </w:rPr>
        <w:t xml:space="preserve"> the</w:t>
      </w:r>
      <w:r w:rsidR="00CF3E04">
        <w:rPr>
          <w:sz w:val="26"/>
          <w:szCs w:val="26"/>
        </w:rPr>
        <w:t>y</w:t>
      </w:r>
      <w:r w:rsidR="00F06440">
        <w:rPr>
          <w:sz w:val="26"/>
          <w:szCs w:val="26"/>
        </w:rPr>
        <w:t xml:space="preserve"> once were.</w:t>
      </w:r>
      <w:r>
        <w:rPr>
          <w:sz w:val="26"/>
          <w:szCs w:val="26"/>
        </w:rPr>
        <w:t xml:space="preserve"> </w:t>
      </w:r>
      <w:r w:rsidR="00F06440">
        <w:rPr>
          <w:sz w:val="26"/>
          <w:szCs w:val="26"/>
        </w:rPr>
        <w:t xml:space="preserve"> </w:t>
      </w:r>
      <w:r w:rsidR="00220842">
        <w:rPr>
          <w:sz w:val="26"/>
          <w:szCs w:val="26"/>
        </w:rPr>
        <w:t>The legacy of PEPRA</w:t>
      </w:r>
      <w:r w:rsidR="00490A42">
        <w:rPr>
          <w:sz w:val="26"/>
          <w:szCs w:val="26"/>
        </w:rPr>
        <w:t>’s</w:t>
      </w:r>
      <w:r w:rsidR="00220842">
        <w:rPr>
          <w:sz w:val="26"/>
          <w:szCs w:val="26"/>
        </w:rPr>
        <w:t xml:space="preserve"> reforms are likely to be even more pronounced in the years ahead.  </w:t>
      </w:r>
      <w:r w:rsidR="00F06440">
        <w:rPr>
          <w:sz w:val="26"/>
          <w:szCs w:val="26"/>
        </w:rPr>
        <w:t xml:space="preserve">  </w:t>
      </w:r>
    </w:p>
    <w:p w14:paraId="44CE9BBB" w14:textId="455F1901" w:rsidR="00636323" w:rsidRPr="00875605" w:rsidRDefault="00636323" w:rsidP="00636323">
      <w:pPr>
        <w:shd w:val="clear" w:color="auto" w:fill="FFFFFF"/>
        <w:spacing w:before="360" w:after="60" w:line="240" w:lineRule="auto"/>
        <w:ind w:left="180" w:right="-90"/>
        <w:contextualSpacing/>
        <w:jc w:val="center"/>
        <w:rPr>
          <w:rFonts w:ascii="Calibri" w:eastAsia="Calibri" w:hAnsi="Calibri" w:cs="Times New Roman"/>
          <w:b/>
          <w:i/>
          <w:sz w:val="40"/>
          <w:szCs w:val="40"/>
          <w:u w:val="single"/>
        </w:rPr>
      </w:pPr>
      <w:r w:rsidRPr="00875605">
        <w:rPr>
          <w:rFonts w:ascii="Calibri" w:eastAsia="Calibri" w:hAnsi="Calibri" w:cs="Times New Roman"/>
          <w:b/>
          <w:i/>
          <w:sz w:val="40"/>
          <w:szCs w:val="40"/>
          <w:u w:val="single"/>
        </w:rPr>
        <w:t>News Release - CPI Increases!</w:t>
      </w:r>
    </w:p>
    <w:p w14:paraId="2D0CB171" w14:textId="77777777" w:rsidR="00EC3FF8" w:rsidRPr="00EC3FF8" w:rsidRDefault="00EC3FF8" w:rsidP="00EC3FF8">
      <w:pPr>
        <w:shd w:val="clear" w:color="auto" w:fill="FFFFFF"/>
        <w:spacing w:before="360" w:after="60" w:line="240" w:lineRule="auto"/>
        <w:ind w:left="180" w:right="-90"/>
        <w:contextualSpacing/>
        <w:jc w:val="both"/>
        <w:rPr>
          <w:rFonts w:ascii="Calibri" w:eastAsia="Calibri" w:hAnsi="Calibri" w:cs="Times New Roman"/>
          <w:sz w:val="28"/>
          <w:szCs w:val="28"/>
        </w:rPr>
      </w:pPr>
    </w:p>
    <w:p w14:paraId="5B001331" w14:textId="47A3C796" w:rsidR="00EC3FF8" w:rsidRPr="00920B5B" w:rsidRDefault="00EC3FF8" w:rsidP="00EC3FF8">
      <w:pPr>
        <w:shd w:val="clear" w:color="auto" w:fill="FFFFFF"/>
        <w:spacing w:before="360" w:after="60" w:line="240" w:lineRule="auto"/>
        <w:ind w:left="180" w:right="-90"/>
        <w:contextualSpacing/>
        <w:jc w:val="both"/>
        <w:rPr>
          <w:rFonts w:ascii="Calibri" w:eastAsia="Calibri" w:hAnsi="Calibri" w:cs="Times New Roman"/>
          <w:sz w:val="26"/>
          <w:szCs w:val="26"/>
        </w:rPr>
      </w:pPr>
      <w:r w:rsidRPr="00920B5B">
        <w:rPr>
          <w:rFonts w:ascii="Calibri" w:eastAsia="Calibri" w:hAnsi="Calibri" w:cs="Times New Roman"/>
          <w:sz w:val="26"/>
          <w:szCs w:val="26"/>
        </w:rPr>
        <w:t>Each month the U.S. Department of Labor, Bureau of Labor Statistics publishes monthly consumer price index (“CPI”) figures.   The data looks back over a rolling 12-month period at how much goods and services have increased from a year ago.  These numbers are important!  They’re a rough measure of inflation, and elected officials and agency management often look to these numbers in determining “Cost of Living” raises.   Here</w:t>
      </w:r>
      <w:r w:rsidR="00186408">
        <w:rPr>
          <w:rFonts w:ascii="Calibri" w:eastAsia="Calibri" w:hAnsi="Calibri" w:cs="Times New Roman"/>
          <w:sz w:val="26"/>
          <w:szCs w:val="26"/>
        </w:rPr>
        <w:t xml:space="preserve"> are</w:t>
      </w:r>
      <w:r w:rsidRPr="00920B5B">
        <w:rPr>
          <w:rFonts w:ascii="Calibri" w:eastAsia="Calibri" w:hAnsi="Calibri" w:cs="Times New Roman"/>
          <w:sz w:val="26"/>
          <w:szCs w:val="26"/>
        </w:rPr>
        <w:t xml:space="preserve"> the figures you need to know:</w:t>
      </w:r>
    </w:p>
    <w:p w14:paraId="2CED2228" w14:textId="77777777" w:rsidR="00EC3FF8" w:rsidRPr="00920B5B" w:rsidRDefault="00EC3FF8" w:rsidP="00EC3FF8">
      <w:pPr>
        <w:pBdr>
          <w:top w:val="single" w:sz="18" w:space="6" w:color="FF0000"/>
          <w:left w:val="single" w:sz="18" w:space="6" w:color="FF0000"/>
          <w:bottom w:val="single" w:sz="18" w:space="5" w:color="FF0000"/>
          <w:right w:val="single" w:sz="18" w:space="6" w:color="FF0000"/>
        </w:pBdr>
        <w:shd w:val="clear" w:color="auto" w:fill="FFFFFF"/>
        <w:spacing w:before="360" w:after="60" w:line="240" w:lineRule="auto"/>
        <w:ind w:left="720" w:right="720"/>
        <w:rPr>
          <w:rFonts w:ascii="Calibri" w:eastAsia="Calibri" w:hAnsi="Calibri" w:cs="Times New Roman"/>
          <w:sz w:val="26"/>
          <w:szCs w:val="26"/>
        </w:rPr>
      </w:pPr>
      <w:r w:rsidRPr="00920B5B">
        <w:rPr>
          <w:rFonts w:ascii="Calibri" w:eastAsia="Calibri" w:hAnsi="Calibri" w:cs="Times New Roman"/>
          <w:sz w:val="26"/>
          <w:szCs w:val="26"/>
        </w:rPr>
        <w:lastRenderedPageBreak/>
        <w:t xml:space="preserve">2.8% - CPI for All Urban Consumers (CPI-U) Nationally </w:t>
      </w:r>
    </w:p>
    <w:p w14:paraId="20442CD4" w14:textId="77777777" w:rsidR="00EC3FF8" w:rsidRPr="00920B5B" w:rsidRDefault="00EC3FF8" w:rsidP="00EC3FF8">
      <w:pPr>
        <w:pBdr>
          <w:top w:val="single" w:sz="18" w:space="6" w:color="FF0000"/>
          <w:left w:val="single" w:sz="18" w:space="6" w:color="FF0000"/>
          <w:bottom w:val="single" w:sz="18" w:space="5" w:color="FF0000"/>
          <w:right w:val="single" w:sz="18" w:space="6" w:color="FF0000"/>
        </w:pBdr>
        <w:shd w:val="clear" w:color="auto" w:fill="FFFFFF"/>
        <w:spacing w:before="120" w:after="60" w:line="240" w:lineRule="auto"/>
        <w:ind w:left="1350" w:right="720" w:hanging="630"/>
        <w:rPr>
          <w:rFonts w:ascii="Calibri" w:eastAsia="Calibri" w:hAnsi="Calibri" w:cs="Times New Roman"/>
          <w:sz w:val="26"/>
          <w:szCs w:val="26"/>
        </w:rPr>
      </w:pPr>
      <w:r w:rsidRPr="00920B5B">
        <w:rPr>
          <w:rFonts w:ascii="Calibri" w:eastAsia="Calibri" w:hAnsi="Calibri" w:cs="Times New Roman"/>
          <w:sz w:val="26"/>
          <w:szCs w:val="26"/>
        </w:rPr>
        <w:t xml:space="preserve">3.5% - CPI-U for the West Region </w:t>
      </w:r>
    </w:p>
    <w:p w14:paraId="727881C0" w14:textId="77777777" w:rsidR="00EC3FF8" w:rsidRPr="00920B5B" w:rsidRDefault="00EC3FF8" w:rsidP="00EC3FF8">
      <w:pPr>
        <w:pBdr>
          <w:top w:val="single" w:sz="18" w:space="6" w:color="FF0000"/>
          <w:left w:val="single" w:sz="18" w:space="6" w:color="FF0000"/>
          <w:bottom w:val="single" w:sz="18" w:space="5" w:color="FF0000"/>
          <w:right w:val="single" w:sz="18" w:space="6" w:color="FF0000"/>
        </w:pBdr>
        <w:shd w:val="clear" w:color="auto" w:fill="FFFFFF"/>
        <w:spacing w:before="120" w:after="60" w:line="240" w:lineRule="auto"/>
        <w:ind w:left="1350" w:right="720" w:hanging="630"/>
        <w:rPr>
          <w:rFonts w:ascii="Calibri" w:eastAsia="Calibri" w:hAnsi="Calibri" w:cs="Times New Roman"/>
          <w:sz w:val="26"/>
          <w:szCs w:val="26"/>
        </w:rPr>
      </w:pPr>
      <w:r w:rsidRPr="00920B5B">
        <w:rPr>
          <w:rFonts w:ascii="Calibri" w:eastAsia="Calibri" w:hAnsi="Calibri" w:cs="Times New Roman"/>
          <w:sz w:val="26"/>
          <w:szCs w:val="26"/>
        </w:rPr>
        <w:t xml:space="preserve">4.1% - CPI-U for the Los Angeles Area </w:t>
      </w:r>
    </w:p>
    <w:p w14:paraId="1416A08F" w14:textId="77777777" w:rsidR="00EC3FF8" w:rsidRPr="00920B5B" w:rsidRDefault="00EC3FF8" w:rsidP="00EC3FF8">
      <w:pPr>
        <w:pBdr>
          <w:top w:val="single" w:sz="18" w:space="6" w:color="FF0000"/>
          <w:left w:val="single" w:sz="18" w:space="6" w:color="FF0000"/>
          <w:bottom w:val="single" w:sz="18" w:space="5" w:color="FF0000"/>
          <w:right w:val="single" w:sz="18" w:space="6" w:color="FF0000"/>
        </w:pBdr>
        <w:shd w:val="clear" w:color="auto" w:fill="FFFFFF"/>
        <w:spacing w:before="120" w:after="0" w:line="240" w:lineRule="auto"/>
        <w:ind w:left="1354" w:right="720" w:hanging="634"/>
        <w:rPr>
          <w:rFonts w:ascii="Calibri" w:eastAsia="Calibri" w:hAnsi="Calibri" w:cs="Times New Roman"/>
          <w:sz w:val="26"/>
          <w:szCs w:val="26"/>
        </w:rPr>
      </w:pPr>
      <w:r w:rsidRPr="00920B5B">
        <w:rPr>
          <w:rFonts w:ascii="Calibri" w:eastAsia="Calibri" w:hAnsi="Calibri" w:cs="Times New Roman"/>
          <w:sz w:val="26"/>
          <w:szCs w:val="26"/>
        </w:rPr>
        <w:t>3.2% - CPI-U for San Francisco Bay Area (12 months through April 2018)</w:t>
      </w:r>
    </w:p>
    <w:p w14:paraId="431A4087" w14:textId="77777777" w:rsidR="00EC3FF8" w:rsidRPr="00920B5B" w:rsidRDefault="00EC3FF8" w:rsidP="00EC3FF8">
      <w:pPr>
        <w:pBdr>
          <w:top w:val="single" w:sz="18" w:space="6" w:color="FF0000"/>
          <w:left w:val="single" w:sz="18" w:space="6" w:color="FF0000"/>
          <w:bottom w:val="single" w:sz="18" w:space="5" w:color="FF0000"/>
          <w:right w:val="single" w:sz="18" w:space="6" w:color="FF0000"/>
        </w:pBdr>
        <w:shd w:val="clear" w:color="auto" w:fill="FFFFFF"/>
        <w:spacing w:before="120" w:after="0" w:line="240" w:lineRule="auto"/>
        <w:ind w:left="1354" w:right="720" w:hanging="634"/>
        <w:rPr>
          <w:rFonts w:ascii="Calibri" w:eastAsia="Calibri" w:hAnsi="Calibri" w:cs="Times New Roman"/>
          <w:sz w:val="26"/>
          <w:szCs w:val="26"/>
        </w:rPr>
      </w:pPr>
      <w:r w:rsidRPr="00920B5B">
        <w:rPr>
          <w:rFonts w:ascii="Calibri" w:eastAsia="Calibri" w:hAnsi="Calibri" w:cs="Times New Roman"/>
          <w:sz w:val="26"/>
          <w:szCs w:val="26"/>
        </w:rPr>
        <w:t>2.8% - CPI-U for San Diego Area (6 months through December 2017)</w:t>
      </w:r>
    </w:p>
    <w:p w14:paraId="45392CAD" w14:textId="5F4767E2" w:rsidR="00636323" w:rsidRDefault="00636323" w:rsidP="00636323">
      <w:pPr>
        <w:shd w:val="clear" w:color="auto" w:fill="FFFFFF"/>
        <w:spacing w:before="360" w:after="60" w:line="240" w:lineRule="auto"/>
        <w:ind w:left="180" w:right="-90"/>
        <w:contextualSpacing/>
        <w:jc w:val="both"/>
        <w:rPr>
          <w:rFonts w:ascii="Calibri" w:eastAsia="Calibri" w:hAnsi="Calibri" w:cs="Times New Roman"/>
          <w:sz w:val="12"/>
          <w:szCs w:val="12"/>
        </w:rPr>
      </w:pPr>
    </w:p>
    <w:p w14:paraId="51691F91" w14:textId="77777777" w:rsidR="009E6B70" w:rsidRPr="00220842" w:rsidRDefault="009E6B70" w:rsidP="00636323">
      <w:pPr>
        <w:shd w:val="clear" w:color="auto" w:fill="FFFFFF"/>
        <w:spacing w:before="360" w:after="60" w:line="240" w:lineRule="auto"/>
        <w:ind w:left="180" w:right="-90"/>
        <w:contextualSpacing/>
        <w:jc w:val="both"/>
        <w:rPr>
          <w:rFonts w:ascii="Calibri" w:eastAsia="Calibri" w:hAnsi="Calibri" w:cs="Times New Roman"/>
          <w:sz w:val="12"/>
          <w:szCs w:val="12"/>
        </w:rPr>
      </w:pPr>
    </w:p>
    <w:p w14:paraId="682DFD18" w14:textId="47537974" w:rsidR="00436A7B" w:rsidRPr="00B93DE6" w:rsidRDefault="00701497" w:rsidP="00701497">
      <w:pPr>
        <w:spacing w:after="0" w:line="240" w:lineRule="auto"/>
        <w:jc w:val="center"/>
        <w:rPr>
          <w:rFonts w:eastAsia="Times New Roman"/>
          <w:b/>
          <w:sz w:val="50"/>
          <w:szCs w:val="50"/>
        </w:rPr>
      </w:pPr>
      <w:r w:rsidRPr="00B93DE6">
        <w:rPr>
          <w:rFonts w:eastAsia="Times New Roman"/>
          <w:b/>
          <w:sz w:val="50"/>
          <w:szCs w:val="50"/>
        </w:rPr>
        <w:t>Retired Public Employees Association News</w:t>
      </w:r>
    </w:p>
    <w:p w14:paraId="3182354B" w14:textId="77777777" w:rsidR="00436A7B" w:rsidRPr="009E6B70" w:rsidRDefault="00436A7B" w:rsidP="00436A7B">
      <w:pPr>
        <w:keepNext/>
        <w:framePr w:dropCap="drop" w:lines="3" w:wrap="around" w:vAnchor="text" w:hAnchor="text"/>
        <w:spacing w:after="0" w:line="773" w:lineRule="exact"/>
        <w:jc w:val="both"/>
        <w:textAlignment w:val="baseline"/>
        <w:rPr>
          <w:b/>
          <w:noProof/>
          <w:position w:val="-11"/>
          <w:sz w:val="26"/>
          <w:szCs w:val="26"/>
          <w:u w:val="single"/>
        </w:rPr>
      </w:pPr>
      <w:r w:rsidRPr="006D66D2">
        <w:rPr>
          <w:bCs/>
          <w:position w:val="-11"/>
          <w:sz w:val="103"/>
        </w:rPr>
        <w:t>L</w:t>
      </w:r>
    </w:p>
    <w:p w14:paraId="6B4356E2" w14:textId="2A923D61" w:rsidR="00436A7B" w:rsidRPr="009E6B70" w:rsidRDefault="00436A7B" w:rsidP="00436A7B">
      <w:pPr>
        <w:spacing w:line="240" w:lineRule="auto"/>
        <w:jc w:val="both"/>
        <w:rPr>
          <w:bCs/>
          <w:strike/>
          <w:sz w:val="26"/>
          <w:szCs w:val="26"/>
        </w:rPr>
      </w:pPr>
      <w:r w:rsidRPr="009E6B70">
        <w:rPr>
          <w:b/>
          <w:noProof/>
          <w:sz w:val="26"/>
          <w:szCs w:val="26"/>
          <w:u w:val="single"/>
        </w:rPr>
        <w:drawing>
          <wp:anchor distT="0" distB="0" distL="114300" distR="114300" simplePos="0" relativeHeight="251670528" behindDoc="0" locked="0" layoutInCell="1" allowOverlap="1" wp14:anchorId="28C2D107" wp14:editId="54D9CC56">
            <wp:simplePos x="0" y="0"/>
            <wp:positionH relativeFrom="margin">
              <wp:posOffset>4133850</wp:posOffset>
            </wp:positionH>
            <wp:positionV relativeFrom="paragraph">
              <wp:posOffset>28575</wp:posOffset>
            </wp:positionV>
            <wp:extent cx="1714500" cy="1714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PEA-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4500" cy="1714500"/>
                    </a:xfrm>
                    <a:prstGeom prst="rect">
                      <a:avLst/>
                    </a:prstGeom>
                  </pic:spPr>
                </pic:pic>
              </a:graphicData>
            </a:graphic>
            <wp14:sizeRelH relativeFrom="page">
              <wp14:pctWidth>0</wp14:pctWidth>
            </wp14:sizeRelH>
            <wp14:sizeRelV relativeFrom="page">
              <wp14:pctHeight>0</wp14:pctHeight>
            </wp14:sizeRelV>
          </wp:anchor>
        </w:drawing>
      </w:r>
      <w:r w:rsidRPr="009E6B70">
        <w:rPr>
          <w:bCs/>
          <w:sz w:val="26"/>
          <w:szCs w:val="26"/>
        </w:rPr>
        <w:t xml:space="preserve">ast year, CalPERS reduced the retirement benefits of almost 200 employees of the East San Gabriel Valley Human Service Consortium, known as LA Works, after its sole source of revenue was terminated. As a result, the Joint Powers Authority (JPA) terminated </w:t>
      </w:r>
      <w:proofErr w:type="gramStart"/>
      <w:r w:rsidRPr="009E6B70">
        <w:rPr>
          <w:bCs/>
          <w:sz w:val="26"/>
          <w:szCs w:val="26"/>
        </w:rPr>
        <w:t>all of</w:t>
      </w:r>
      <w:proofErr w:type="gramEnd"/>
      <w:r w:rsidRPr="009E6B70">
        <w:rPr>
          <w:bCs/>
          <w:sz w:val="26"/>
          <w:szCs w:val="26"/>
        </w:rPr>
        <w:t xml:space="preserve"> its </w:t>
      </w:r>
      <w:r w:rsidR="00186408" w:rsidRPr="009E6B70">
        <w:rPr>
          <w:bCs/>
          <w:sz w:val="26"/>
          <w:szCs w:val="26"/>
        </w:rPr>
        <w:t>employees and</w:t>
      </w:r>
      <w:r w:rsidRPr="009E6B70">
        <w:rPr>
          <w:bCs/>
          <w:sz w:val="26"/>
          <w:szCs w:val="26"/>
        </w:rPr>
        <w:t xml:space="preserve"> </w:t>
      </w:r>
      <w:r w:rsidR="00817B0A" w:rsidRPr="009E6B70">
        <w:rPr>
          <w:bCs/>
          <w:sz w:val="26"/>
          <w:szCs w:val="26"/>
        </w:rPr>
        <w:t xml:space="preserve">couldn’t </w:t>
      </w:r>
      <w:r w:rsidRPr="009E6B70">
        <w:rPr>
          <w:bCs/>
          <w:sz w:val="26"/>
          <w:szCs w:val="26"/>
        </w:rPr>
        <w:t>pay its retirement obligations to CalPERS.</w:t>
      </w:r>
    </w:p>
    <w:p w14:paraId="116917BD" w14:textId="77777777" w:rsidR="00436A7B" w:rsidRPr="009E6B70" w:rsidRDefault="00436A7B" w:rsidP="00436A7B">
      <w:pPr>
        <w:spacing w:line="240" w:lineRule="auto"/>
        <w:jc w:val="both"/>
        <w:rPr>
          <w:bCs/>
          <w:sz w:val="26"/>
          <w:szCs w:val="26"/>
        </w:rPr>
      </w:pPr>
      <w:r w:rsidRPr="009E6B70">
        <w:rPr>
          <w:bCs/>
          <w:sz w:val="26"/>
          <w:szCs w:val="26"/>
        </w:rPr>
        <w:t xml:space="preserve">In response to a CalPERS demand for payment of the JPA’s retirement obligations from the member agencies that established the JPA, the cities of Azusa, Covina, Glendora and West Covina, cited existing JPA law, contract, and case law to support their position that they were not responsible for the JPA’s retirement obligations. </w:t>
      </w:r>
    </w:p>
    <w:p w14:paraId="07C0560D" w14:textId="1154ACAF" w:rsidR="00436A7B" w:rsidRPr="009E6B70" w:rsidRDefault="00436A7B" w:rsidP="00436A7B">
      <w:pPr>
        <w:spacing w:line="240" w:lineRule="auto"/>
        <w:jc w:val="both"/>
        <w:rPr>
          <w:bCs/>
          <w:sz w:val="26"/>
          <w:szCs w:val="26"/>
        </w:rPr>
      </w:pPr>
      <w:r w:rsidRPr="009E6B70">
        <w:rPr>
          <w:bCs/>
          <w:sz w:val="26"/>
          <w:szCs w:val="26"/>
        </w:rPr>
        <w:t xml:space="preserve">As a result, RPEA and members of the Labor Coalition, decided to pursue legislation to address the problem </w:t>
      </w:r>
      <w:r w:rsidR="00A55405" w:rsidRPr="009E6B70">
        <w:rPr>
          <w:bCs/>
          <w:sz w:val="26"/>
          <w:szCs w:val="26"/>
        </w:rPr>
        <w:t xml:space="preserve">caused by </w:t>
      </w:r>
      <w:r w:rsidRPr="009E6B70">
        <w:rPr>
          <w:bCs/>
          <w:sz w:val="26"/>
          <w:szCs w:val="26"/>
        </w:rPr>
        <w:t xml:space="preserve">the dissolution of the JPA.  RPEA and the Labor groups, sponsored legislation </w:t>
      </w:r>
      <w:r w:rsidRPr="009E6B70">
        <w:rPr>
          <w:b/>
          <w:bCs/>
          <w:sz w:val="26"/>
          <w:szCs w:val="26"/>
        </w:rPr>
        <w:t>(AB 1912)</w:t>
      </w:r>
      <w:r w:rsidRPr="009E6B70">
        <w:rPr>
          <w:bCs/>
          <w:sz w:val="26"/>
          <w:szCs w:val="26"/>
        </w:rPr>
        <w:t xml:space="preserve"> that would do the following:</w:t>
      </w:r>
    </w:p>
    <w:p w14:paraId="78B1E086" w14:textId="77777777" w:rsidR="00436A7B" w:rsidRPr="009E6B70" w:rsidRDefault="00436A7B" w:rsidP="00436A7B">
      <w:pPr>
        <w:pStyle w:val="ListParagraph"/>
        <w:numPr>
          <w:ilvl w:val="0"/>
          <w:numId w:val="6"/>
        </w:numPr>
        <w:spacing w:line="240" w:lineRule="auto"/>
        <w:jc w:val="both"/>
        <w:rPr>
          <w:rFonts w:cs="Times New Roman"/>
          <w:bCs/>
          <w:sz w:val="26"/>
          <w:szCs w:val="26"/>
        </w:rPr>
      </w:pPr>
      <w:r w:rsidRPr="009E6B70">
        <w:rPr>
          <w:b/>
          <w:bCs/>
          <w:sz w:val="26"/>
          <w:szCs w:val="26"/>
        </w:rPr>
        <w:t>AB 1912 (Rodriguez)</w:t>
      </w:r>
      <w:r w:rsidRPr="009E6B70">
        <w:rPr>
          <w:bCs/>
          <w:sz w:val="26"/>
          <w:szCs w:val="26"/>
        </w:rPr>
        <w:t xml:space="preserve"> - This bill </w:t>
      </w:r>
      <w:r w:rsidRPr="009E6B70">
        <w:rPr>
          <w:rFonts w:cs="Times New Roman"/>
          <w:bCs/>
          <w:sz w:val="26"/>
          <w:szCs w:val="26"/>
        </w:rPr>
        <w:t xml:space="preserve">would prohibit member agencies of a JPA from disclaiming liability for the JPA's retirement liability if the JPA contracts with a public employee retirement system. It would also require member agencies of a JPA to mutually agree to apportion the retirement liability of the JPA for existing contracts with a public employee retirement system. Lastly, it would prohibit CalPERS, on January 1, 2019, from contracting with a JPA, unless the contract contains provisions regarding joint and several </w:t>
      </w:r>
      <w:proofErr w:type="gramStart"/>
      <w:r w:rsidRPr="009E6B70">
        <w:rPr>
          <w:rFonts w:cs="Times New Roman"/>
          <w:bCs/>
          <w:sz w:val="26"/>
          <w:szCs w:val="26"/>
        </w:rPr>
        <w:t>liability</w:t>
      </w:r>
      <w:proofErr w:type="gramEnd"/>
      <w:r w:rsidRPr="009E6B70">
        <w:rPr>
          <w:rFonts w:cs="Times New Roman"/>
          <w:bCs/>
          <w:sz w:val="26"/>
          <w:szCs w:val="26"/>
        </w:rPr>
        <w:t>, among other provisions.</w:t>
      </w:r>
    </w:p>
    <w:p w14:paraId="5AFF7089" w14:textId="2E0FFFC9" w:rsidR="00436A7B" w:rsidRPr="009E6B70" w:rsidRDefault="00436A7B" w:rsidP="00436A7B">
      <w:pPr>
        <w:spacing w:line="240" w:lineRule="auto"/>
        <w:jc w:val="both"/>
        <w:rPr>
          <w:rFonts w:cs="Times New Roman"/>
          <w:bCs/>
          <w:sz w:val="26"/>
          <w:szCs w:val="26"/>
        </w:rPr>
      </w:pPr>
      <w:r w:rsidRPr="009E6B70">
        <w:rPr>
          <w:rFonts w:cs="Times New Roman"/>
          <w:bCs/>
          <w:sz w:val="26"/>
          <w:szCs w:val="26"/>
        </w:rPr>
        <w:t>As the bill progressed through the Assembly and over to the Senate, RPEA actively supported the bill and RPEA’s lobbyists from Aaron Read &amp; Associates lobbied for its passage.  The legislation has garnered considerable opposition, mainly from the League of Cities (the League), the California State Association of Counties (CSAC), and many individual cities.  All object</w:t>
      </w:r>
      <w:r w:rsidR="00A55405" w:rsidRPr="009E6B70">
        <w:rPr>
          <w:rFonts w:cs="Times New Roman"/>
          <w:bCs/>
          <w:sz w:val="26"/>
          <w:szCs w:val="26"/>
        </w:rPr>
        <w:t>ed</w:t>
      </w:r>
      <w:r w:rsidRPr="009E6B70">
        <w:rPr>
          <w:rFonts w:cs="Times New Roman"/>
          <w:bCs/>
          <w:sz w:val="26"/>
          <w:szCs w:val="26"/>
        </w:rPr>
        <w:t xml:space="preserve"> to requiring them to be liable for JPA employee’s retirement benefits </w:t>
      </w:r>
      <w:r w:rsidR="00A55405" w:rsidRPr="009E6B70">
        <w:rPr>
          <w:rFonts w:cs="Times New Roman"/>
          <w:bCs/>
          <w:sz w:val="26"/>
          <w:szCs w:val="26"/>
        </w:rPr>
        <w:t>in the event t</w:t>
      </w:r>
      <w:r w:rsidRPr="009E6B70">
        <w:rPr>
          <w:rFonts w:cs="Times New Roman"/>
          <w:bCs/>
          <w:sz w:val="26"/>
          <w:szCs w:val="26"/>
        </w:rPr>
        <w:t xml:space="preserve">he JPA </w:t>
      </w:r>
      <w:r w:rsidR="00A55405" w:rsidRPr="009E6B70">
        <w:rPr>
          <w:rFonts w:cs="Times New Roman"/>
          <w:bCs/>
          <w:sz w:val="26"/>
          <w:szCs w:val="26"/>
        </w:rPr>
        <w:t>is</w:t>
      </w:r>
      <w:r w:rsidRPr="009E6B70">
        <w:rPr>
          <w:rFonts w:cs="Times New Roman"/>
          <w:bCs/>
          <w:sz w:val="26"/>
          <w:szCs w:val="26"/>
        </w:rPr>
        <w:t xml:space="preserve"> dissolved.  </w:t>
      </w:r>
    </w:p>
    <w:p w14:paraId="148D1B5A" w14:textId="32077052" w:rsidR="00436A7B" w:rsidRPr="009E6B70" w:rsidRDefault="00436A7B" w:rsidP="00436A7B">
      <w:pPr>
        <w:spacing w:line="240" w:lineRule="auto"/>
        <w:jc w:val="both"/>
        <w:rPr>
          <w:rFonts w:cs="Times New Roman"/>
          <w:bCs/>
          <w:sz w:val="26"/>
          <w:szCs w:val="26"/>
        </w:rPr>
      </w:pPr>
      <w:r w:rsidRPr="009E6B70">
        <w:rPr>
          <w:rFonts w:cs="Times New Roman"/>
          <w:bCs/>
          <w:sz w:val="26"/>
          <w:szCs w:val="26"/>
        </w:rPr>
        <w:lastRenderedPageBreak/>
        <w:t xml:space="preserve">After considerable negotiations and discussions with opponents, CalPERS and legislative staff amended the bill to address some concerns and resolve some legal issues to make the bill workable.  </w:t>
      </w:r>
      <w:r w:rsidR="00186408" w:rsidRPr="009E6B70">
        <w:rPr>
          <w:rFonts w:cs="Times New Roman"/>
          <w:bCs/>
          <w:sz w:val="26"/>
          <w:szCs w:val="26"/>
        </w:rPr>
        <w:t>The bill</w:t>
      </w:r>
      <w:r w:rsidRPr="009E6B70">
        <w:rPr>
          <w:rFonts w:cs="Times New Roman"/>
          <w:bCs/>
          <w:sz w:val="26"/>
          <w:szCs w:val="26"/>
        </w:rPr>
        <w:t xml:space="preserve"> passed the Assembly Floor and is</w:t>
      </w:r>
      <w:r w:rsidR="00A55405" w:rsidRPr="009E6B70">
        <w:rPr>
          <w:rFonts w:cs="Times New Roman"/>
          <w:bCs/>
          <w:sz w:val="26"/>
          <w:szCs w:val="26"/>
        </w:rPr>
        <w:t xml:space="preserve"> now before </w:t>
      </w:r>
      <w:r w:rsidRPr="009E6B70">
        <w:rPr>
          <w:rFonts w:cs="Times New Roman"/>
          <w:bCs/>
          <w:sz w:val="26"/>
          <w:szCs w:val="26"/>
        </w:rPr>
        <w:t>the Senate.</w:t>
      </w:r>
    </w:p>
    <w:p w14:paraId="045F0E89" w14:textId="3BD522EC" w:rsidR="00436A7B" w:rsidRPr="00AB68DE" w:rsidRDefault="00436A7B" w:rsidP="00436A7B">
      <w:pPr>
        <w:spacing w:line="240" w:lineRule="auto"/>
        <w:jc w:val="both"/>
        <w:rPr>
          <w:rFonts w:cs="Times New Roman"/>
          <w:bCs/>
          <w:sz w:val="26"/>
          <w:szCs w:val="26"/>
        </w:rPr>
      </w:pPr>
      <w:r w:rsidRPr="009E6B70">
        <w:rPr>
          <w:rFonts w:cs="Times New Roman"/>
          <w:bCs/>
          <w:sz w:val="26"/>
          <w:szCs w:val="26"/>
        </w:rPr>
        <w:t>Additional amendments may be needed to address some outstanding IRS issues</w:t>
      </w:r>
      <w:r w:rsidR="00817B0A" w:rsidRPr="009E6B70">
        <w:rPr>
          <w:rFonts w:cs="Times New Roman"/>
          <w:bCs/>
          <w:sz w:val="26"/>
          <w:szCs w:val="26"/>
        </w:rPr>
        <w:t>, including</w:t>
      </w:r>
      <w:r w:rsidRPr="009E6B70">
        <w:rPr>
          <w:rFonts w:cs="Times New Roman"/>
          <w:bCs/>
          <w:sz w:val="26"/>
          <w:szCs w:val="26"/>
        </w:rPr>
        <w:t xml:space="preserve"> </w:t>
      </w:r>
      <w:r w:rsidR="00817B0A" w:rsidRPr="009E6B70">
        <w:rPr>
          <w:rFonts w:cs="Times New Roman"/>
          <w:bCs/>
          <w:sz w:val="26"/>
          <w:szCs w:val="26"/>
        </w:rPr>
        <w:t xml:space="preserve">how </w:t>
      </w:r>
      <w:r w:rsidRPr="009E6B70">
        <w:rPr>
          <w:rFonts w:cs="Times New Roman"/>
          <w:bCs/>
          <w:sz w:val="26"/>
          <w:szCs w:val="26"/>
        </w:rPr>
        <w:t xml:space="preserve">new regulations </w:t>
      </w:r>
      <w:r w:rsidR="00A55405" w:rsidRPr="009E6B70">
        <w:rPr>
          <w:rFonts w:cs="Times New Roman"/>
          <w:bCs/>
          <w:sz w:val="26"/>
          <w:szCs w:val="26"/>
        </w:rPr>
        <w:t xml:space="preserve">might </w:t>
      </w:r>
      <w:r w:rsidR="00817B0A" w:rsidRPr="009E6B70">
        <w:rPr>
          <w:rFonts w:cs="Times New Roman"/>
          <w:bCs/>
          <w:sz w:val="26"/>
          <w:szCs w:val="26"/>
        </w:rPr>
        <w:t>affect</w:t>
      </w:r>
      <w:r w:rsidRPr="009E6B70">
        <w:rPr>
          <w:rFonts w:cs="Times New Roman"/>
          <w:bCs/>
          <w:sz w:val="26"/>
          <w:szCs w:val="26"/>
        </w:rPr>
        <w:t xml:space="preserve"> JPAs.  AB 1912 </w:t>
      </w:r>
      <w:r w:rsidR="00817B0A" w:rsidRPr="009E6B70">
        <w:rPr>
          <w:rFonts w:cs="Times New Roman"/>
          <w:bCs/>
          <w:sz w:val="26"/>
          <w:szCs w:val="26"/>
        </w:rPr>
        <w:t>was</w:t>
      </w:r>
      <w:r w:rsidRPr="009E6B70">
        <w:rPr>
          <w:rFonts w:cs="Times New Roman"/>
          <w:bCs/>
          <w:sz w:val="26"/>
          <w:szCs w:val="26"/>
        </w:rPr>
        <w:t xml:space="preserve"> heard </w:t>
      </w:r>
      <w:r w:rsidR="00402FE5" w:rsidRPr="009E6B70">
        <w:rPr>
          <w:rFonts w:cs="Times New Roman"/>
          <w:bCs/>
          <w:sz w:val="26"/>
          <w:szCs w:val="26"/>
        </w:rPr>
        <w:t xml:space="preserve">late </w:t>
      </w:r>
      <w:r w:rsidR="00817B0A" w:rsidRPr="009E6B70">
        <w:rPr>
          <w:rFonts w:cs="Times New Roman"/>
          <w:bCs/>
          <w:sz w:val="26"/>
          <w:szCs w:val="26"/>
        </w:rPr>
        <w:t xml:space="preserve">last month </w:t>
      </w:r>
      <w:r w:rsidRPr="009E6B70">
        <w:rPr>
          <w:rFonts w:cs="Times New Roman"/>
          <w:bCs/>
          <w:sz w:val="26"/>
          <w:szCs w:val="26"/>
        </w:rPr>
        <w:t xml:space="preserve">in Senate </w:t>
      </w:r>
      <w:r w:rsidRPr="00AB68DE">
        <w:rPr>
          <w:rFonts w:cs="Times New Roman"/>
          <w:bCs/>
          <w:sz w:val="26"/>
          <w:szCs w:val="26"/>
        </w:rPr>
        <w:t>PERS Committee and Senate Judiciary Committee.</w:t>
      </w:r>
    </w:p>
    <w:p w14:paraId="4DBD5225" w14:textId="679BCCF1" w:rsidR="00436A7B" w:rsidRPr="00AB68DE" w:rsidRDefault="00436A7B" w:rsidP="00436A7B">
      <w:pPr>
        <w:spacing w:line="240" w:lineRule="auto"/>
        <w:jc w:val="both"/>
        <w:rPr>
          <w:bCs/>
          <w:sz w:val="26"/>
          <w:szCs w:val="26"/>
        </w:rPr>
      </w:pPr>
      <w:r w:rsidRPr="00AB68DE">
        <w:rPr>
          <w:rFonts w:cs="Times New Roman"/>
          <w:bCs/>
          <w:sz w:val="26"/>
          <w:szCs w:val="26"/>
        </w:rPr>
        <w:t xml:space="preserve">RPEA has gone to great lengths to voice the need for this bill by writing a letter of support to the Senate PERS Committee Chair. This bill is needed because it would provide retirement security to a JPA's employees and retirees </w:t>
      </w:r>
      <w:r w:rsidR="00402FE5" w:rsidRPr="00AB68DE">
        <w:rPr>
          <w:rFonts w:cs="Times New Roman"/>
          <w:bCs/>
          <w:sz w:val="26"/>
          <w:szCs w:val="26"/>
        </w:rPr>
        <w:t>if</w:t>
      </w:r>
      <w:r w:rsidRPr="00AB68DE">
        <w:rPr>
          <w:rFonts w:cs="Times New Roman"/>
          <w:bCs/>
          <w:sz w:val="26"/>
          <w:szCs w:val="26"/>
        </w:rPr>
        <w:t xml:space="preserve"> the JPA </w:t>
      </w:r>
      <w:r w:rsidR="00402FE5" w:rsidRPr="00AB68DE">
        <w:rPr>
          <w:rFonts w:cs="Times New Roman"/>
          <w:bCs/>
          <w:sz w:val="26"/>
          <w:szCs w:val="26"/>
        </w:rPr>
        <w:t>ever</w:t>
      </w:r>
      <w:r w:rsidRPr="00AB68DE">
        <w:rPr>
          <w:rFonts w:cs="Times New Roman"/>
          <w:bCs/>
          <w:sz w:val="26"/>
          <w:szCs w:val="26"/>
        </w:rPr>
        <w:t xml:space="preserve"> dissolve</w:t>
      </w:r>
      <w:r w:rsidR="00402FE5" w:rsidRPr="00AB68DE">
        <w:rPr>
          <w:rFonts w:cs="Times New Roman"/>
          <w:bCs/>
          <w:sz w:val="26"/>
          <w:szCs w:val="26"/>
        </w:rPr>
        <w:t>s</w:t>
      </w:r>
      <w:r w:rsidRPr="00AB68DE">
        <w:rPr>
          <w:rFonts w:cs="Times New Roman"/>
          <w:bCs/>
          <w:sz w:val="26"/>
          <w:szCs w:val="26"/>
        </w:rPr>
        <w:t>. RPEA will continue to follow the outcome of this bill.</w:t>
      </w:r>
    </w:p>
    <w:p w14:paraId="73052E01" w14:textId="77777777" w:rsidR="00436A7B" w:rsidRPr="006D66D2" w:rsidRDefault="00436A7B" w:rsidP="00436A7B">
      <w:pPr>
        <w:pStyle w:val="NoSpacing"/>
        <w:jc w:val="both"/>
        <w:rPr>
          <w:sz w:val="22"/>
        </w:rPr>
      </w:pPr>
      <w:r w:rsidRPr="006D66D2">
        <w:rPr>
          <w:rFonts w:ascii="Cambria" w:hAnsi="Cambria"/>
          <w:bCs/>
          <w:i/>
          <w:sz w:val="18"/>
          <w:szCs w:val="22"/>
        </w:rPr>
        <w:t xml:space="preserve">Since the beginning, RPEA has been actively involved in enhancing the lives of retirees. We are the only statewide association representing all PERS retirees. RPEA works tirelessly to safeguard and promote the retiree benefits of California’s public employees. </w:t>
      </w:r>
      <w:r w:rsidRPr="006D66D2">
        <w:rPr>
          <w:rFonts w:ascii="Cambria" w:hAnsi="Cambria"/>
          <w:i/>
          <w:sz w:val="18"/>
          <w:szCs w:val="22"/>
        </w:rPr>
        <w:t xml:space="preserve">For more information regarding retiree pensions and health benefits or to learn more about the Retired Public Employees’ Association of California, check out our website </w:t>
      </w:r>
      <w:hyperlink r:id="rId8" w:history="1">
        <w:r w:rsidRPr="006D66D2">
          <w:rPr>
            <w:rStyle w:val="Hyperlink"/>
            <w:rFonts w:ascii="Cambria" w:hAnsi="Cambria"/>
            <w:i/>
            <w:sz w:val="18"/>
            <w:szCs w:val="22"/>
          </w:rPr>
          <w:t>www.rpea.com</w:t>
        </w:r>
      </w:hyperlink>
      <w:r w:rsidRPr="006D66D2">
        <w:rPr>
          <w:rStyle w:val="Hyperlink"/>
          <w:rFonts w:ascii="Cambria" w:hAnsi="Cambria"/>
          <w:i/>
          <w:sz w:val="18"/>
          <w:szCs w:val="22"/>
        </w:rPr>
        <w:t>.</w:t>
      </w:r>
    </w:p>
    <w:p w14:paraId="65FD8145" w14:textId="77777777" w:rsidR="00AB68DE" w:rsidRPr="002C5215" w:rsidRDefault="00AB68DE" w:rsidP="00AB68DE">
      <w:pPr>
        <w:shd w:val="clear" w:color="auto" w:fill="365F91"/>
        <w:tabs>
          <w:tab w:val="left" w:pos="6030"/>
        </w:tabs>
        <w:spacing w:before="360" w:after="0" w:line="240" w:lineRule="auto"/>
        <w:ind w:left="2790" w:right="3150"/>
        <w:jc w:val="center"/>
        <w:rPr>
          <w:color w:val="FFFFFF"/>
          <w:sz w:val="48"/>
          <w:szCs w:val="48"/>
          <w:u w:val="single"/>
        </w:rPr>
      </w:pPr>
      <w:r w:rsidRPr="002C5215">
        <w:rPr>
          <w:color w:val="FFFFFF"/>
          <w:sz w:val="48"/>
          <w:szCs w:val="48"/>
          <w:u w:val="single"/>
        </w:rPr>
        <w:t>Legal Updates</w:t>
      </w:r>
    </w:p>
    <w:p w14:paraId="49551BFE" w14:textId="77777777" w:rsidR="00AB68DE" w:rsidRPr="002C5215" w:rsidRDefault="00AB68DE" w:rsidP="00AB68DE">
      <w:pPr>
        <w:spacing w:after="0" w:line="240" w:lineRule="auto"/>
        <w:jc w:val="both"/>
        <w:rPr>
          <w:color w:val="FFFFFF"/>
          <w:sz w:val="28"/>
          <w:szCs w:val="28"/>
        </w:rPr>
      </w:pPr>
    </w:p>
    <w:p w14:paraId="611FB6A3" w14:textId="77777777" w:rsidR="00AB68DE" w:rsidRPr="00B82668" w:rsidRDefault="00AB68DE" w:rsidP="00AB68DE">
      <w:pPr>
        <w:shd w:val="clear" w:color="auto" w:fill="8EAADB" w:themeFill="accent1" w:themeFillTint="99"/>
        <w:spacing w:after="0" w:line="240" w:lineRule="auto"/>
        <w:jc w:val="center"/>
        <w:rPr>
          <w:i/>
          <w:color w:val="FFFFFF" w:themeColor="background1"/>
          <w:sz w:val="28"/>
          <w:szCs w:val="28"/>
        </w:rPr>
      </w:pPr>
      <w:r>
        <w:rPr>
          <w:i/>
          <w:color w:val="FFFFFF" w:themeColor="background1"/>
          <w:sz w:val="28"/>
          <w:szCs w:val="28"/>
        </w:rPr>
        <w:t xml:space="preserve">Retiree Entitled to Due Process Before Forfeiture of Pension for Felony Offense </w:t>
      </w:r>
    </w:p>
    <w:p w14:paraId="18AE837A" w14:textId="77777777" w:rsidR="00AB68DE" w:rsidRPr="00B82668" w:rsidRDefault="00AB68DE" w:rsidP="00AB68DE">
      <w:pPr>
        <w:spacing w:after="0" w:line="240" w:lineRule="auto"/>
        <w:jc w:val="both"/>
        <w:rPr>
          <w:sz w:val="28"/>
          <w:szCs w:val="28"/>
        </w:rPr>
      </w:pPr>
    </w:p>
    <w:p w14:paraId="79F6A740" w14:textId="77777777" w:rsidR="00AB68DE" w:rsidRDefault="00AB68DE" w:rsidP="00AB68DE">
      <w:pPr>
        <w:spacing w:after="0" w:line="240" w:lineRule="auto"/>
        <w:jc w:val="both"/>
        <w:rPr>
          <w:sz w:val="26"/>
          <w:szCs w:val="26"/>
        </w:rPr>
      </w:pPr>
      <w:r>
        <w:rPr>
          <w:sz w:val="26"/>
          <w:szCs w:val="26"/>
        </w:rPr>
        <w:t xml:space="preserve">The Public Employees’ Pension Reform Act of 2013 (Gov’t Code §7522 et seq. “PEPRA”) includes a section whereby a public pensioner forfeits a portion of his or her retirement benefits following a conviction of a felony offense that occurred in the performance of his or her official duties.  Tod </w:t>
      </w:r>
      <w:proofErr w:type="spellStart"/>
      <w:r>
        <w:rPr>
          <w:sz w:val="26"/>
          <w:szCs w:val="26"/>
        </w:rPr>
        <w:t>Hipsher</w:t>
      </w:r>
      <w:proofErr w:type="spellEnd"/>
      <w:r>
        <w:rPr>
          <w:sz w:val="26"/>
          <w:szCs w:val="26"/>
        </w:rPr>
        <w:t xml:space="preserve"> retired from the L.A. County Fire Department and, shortly thereafter, was convicted of a federal felony for directing an offshore gambling operation.  The County of Los Angeles (County) determined that his gambling conduct was committed in the scope of his official duties.  The L.A. County Employees Retirement Association (LACERA) then reduced his retirement benefits in accordance with the PEPRA.</w:t>
      </w:r>
    </w:p>
    <w:p w14:paraId="067B2A7B" w14:textId="77777777" w:rsidR="00AB68DE" w:rsidRDefault="00AB68DE" w:rsidP="00AB68DE">
      <w:pPr>
        <w:spacing w:after="0" w:line="240" w:lineRule="auto"/>
        <w:jc w:val="both"/>
        <w:rPr>
          <w:sz w:val="26"/>
          <w:szCs w:val="26"/>
        </w:rPr>
      </w:pPr>
    </w:p>
    <w:p w14:paraId="3E195746" w14:textId="77777777" w:rsidR="00AB68DE" w:rsidRDefault="00AB68DE" w:rsidP="00AB68DE">
      <w:pPr>
        <w:spacing w:after="0" w:line="240" w:lineRule="auto"/>
        <w:jc w:val="both"/>
        <w:rPr>
          <w:sz w:val="26"/>
          <w:szCs w:val="26"/>
        </w:rPr>
      </w:pPr>
      <w:proofErr w:type="spellStart"/>
      <w:r>
        <w:rPr>
          <w:sz w:val="26"/>
          <w:szCs w:val="26"/>
        </w:rPr>
        <w:t>Hipsher</w:t>
      </w:r>
      <w:proofErr w:type="spellEnd"/>
      <w:r>
        <w:rPr>
          <w:sz w:val="26"/>
          <w:szCs w:val="26"/>
        </w:rPr>
        <w:t xml:space="preserve"> challenged LACERA’s actions by filing a petition with the L.A. Superior Court.  </w:t>
      </w:r>
      <w:proofErr w:type="spellStart"/>
      <w:r>
        <w:rPr>
          <w:sz w:val="26"/>
          <w:szCs w:val="26"/>
        </w:rPr>
        <w:t>Hipsher</w:t>
      </w:r>
      <w:proofErr w:type="spellEnd"/>
      <w:r>
        <w:rPr>
          <w:sz w:val="26"/>
          <w:szCs w:val="26"/>
        </w:rPr>
        <w:t xml:space="preserve"> argued that the PEPRA section is unconstitutional as applied to him because it impaired his contractual right to his vested pension and is an unlawful ex post facto law.  The County, who intervened as a real party in interest, argued the PEPRA is constitutional and that it did not owe </w:t>
      </w:r>
      <w:proofErr w:type="spellStart"/>
      <w:r>
        <w:rPr>
          <w:sz w:val="26"/>
          <w:szCs w:val="26"/>
        </w:rPr>
        <w:t>Hipsher</w:t>
      </w:r>
      <w:proofErr w:type="spellEnd"/>
      <w:r>
        <w:rPr>
          <w:sz w:val="26"/>
          <w:szCs w:val="26"/>
        </w:rPr>
        <w:t xml:space="preserve"> any more due process.  Both sides appealed the trial court ruling.  The appellate court held that the PEPRA section is constitutional, and that LACERA, not the County, bears the burden to afford </w:t>
      </w:r>
      <w:proofErr w:type="spellStart"/>
      <w:r>
        <w:rPr>
          <w:sz w:val="26"/>
          <w:szCs w:val="26"/>
        </w:rPr>
        <w:t>Hipsher</w:t>
      </w:r>
      <w:proofErr w:type="spellEnd"/>
      <w:r>
        <w:rPr>
          <w:sz w:val="26"/>
          <w:szCs w:val="26"/>
        </w:rPr>
        <w:t xml:space="preserve"> the requisite due process protections in determining whether his conviction falls within the scope of the statute.  </w:t>
      </w:r>
    </w:p>
    <w:p w14:paraId="6D35E0CF" w14:textId="77777777" w:rsidR="00AB68DE" w:rsidRDefault="00AB68DE" w:rsidP="00AB68DE">
      <w:pPr>
        <w:spacing w:after="0" w:line="240" w:lineRule="auto"/>
        <w:jc w:val="both"/>
        <w:rPr>
          <w:sz w:val="26"/>
          <w:szCs w:val="26"/>
        </w:rPr>
      </w:pPr>
    </w:p>
    <w:p w14:paraId="7306C697" w14:textId="2571559A" w:rsidR="00AB68DE" w:rsidRDefault="00AB68DE" w:rsidP="00AB68DE">
      <w:pPr>
        <w:spacing w:after="0"/>
        <w:jc w:val="both"/>
        <w:rPr>
          <w:sz w:val="26"/>
          <w:szCs w:val="26"/>
        </w:rPr>
      </w:pPr>
      <w:r>
        <w:rPr>
          <w:sz w:val="26"/>
          <w:szCs w:val="26"/>
        </w:rPr>
        <w:lastRenderedPageBreak/>
        <w:t xml:space="preserve">This case is important because it establishes that a pensioner has a right to due process from the pension system, not just the employer, prior to the forfeiture or reduction of retirement benefits under the PEPRA for a felony conviction.  The case is </w:t>
      </w:r>
      <w:proofErr w:type="spellStart"/>
      <w:r w:rsidRPr="00A94D8B">
        <w:rPr>
          <w:i/>
          <w:sz w:val="26"/>
          <w:szCs w:val="26"/>
        </w:rPr>
        <w:t>Hipsher</w:t>
      </w:r>
      <w:proofErr w:type="spellEnd"/>
      <w:r w:rsidRPr="00A94D8B">
        <w:rPr>
          <w:i/>
          <w:sz w:val="26"/>
          <w:szCs w:val="26"/>
        </w:rPr>
        <w:t xml:space="preserve"> v. L.A. County Employees Retirement Association</w:t>
      </w:r>
      <w:r>
        <w:rPr>
          <w:sz w:val="26"/>
          <w:szCs w:val="26"/>
        </w:rPr>
        <w:t>, B276486, 2</w:t>
      </w:r>
      <w:r w:rsidRPr="00A94D8B">
        <w:rPr>
          <w:sz w:val="26"/>
          <w:szCs w:val="26"/>
          <w:vertAlign w:val="superscript"/>
        </w:rPr>
        <w:t>nd</w:t>
      </w:r>
      <w:r>
        <w:rPr>
          <w:sz w:val="26"/>
          <w:szCs w:val="26"/>
        </w:rPr>
        <w:t xml:space="preserve"> App. Dist. (2018).</w:t>
      </w:r>
    </w:p>
    <w:p w14:paraId="5E9D7697" w14:textId="77777777" w:rsidR="00701497" w:rsidRPr="00E50DA7" w:rsidRDefault="00701497" w:rsidP="00701497">
      <w:pPr>
        <w:spacing w:after="0" w:line="240" w:lineRule="auto"/>
        <w:jc w:val="center"/>
        <w:rPr>
          <w:rFonts w:eastAsia="Times New Roman"/>
          <w:b/>
          <w:sz w:val="52"/>
          <w:szCs w:val="40"/>
        </w:rPr>
      </w:pPr>
      <w:r w:rsidRPr="00E50DA7">
        <w:rPr>
          <w:rFonts w:eastAsia="Times New Roman"/>
          <w:b/>
          <w:sz w:val="52"/>
          <w:szCs w:val="40"/>
        </w:rPr>
        <w:t>Questions &amp; Answers about Your Job</w:t>
      </w:r>
    </w:p>
    <w:p w14:paraId="59DB5FBD" w14:textId="77777777" w:rsidR="00701497" w:rsidRPr="00BB046E" w:rsidRDefault="00701497" w:rsidP="00701497">
      <w:pPr>
        <w:spacing w:after="0"/>
        <w:rPr>
          <w:rFonts w:ascii="Times New Roman" w:eastAsia="Times New Roman" w:hAnsi="Times New Roman"/>
          <w:b/>
          <w:sz w:val="16"/>
          <w:szCs w:val="16"/>
        </w:rPr>
      </w:pPr>
    </w:p>
    <w:p w14:paraId="4FF4AA2E" w14:textId="77777777" w:rsidR="00701497" w:rsidRPr="005E6AC7" w:rsidRDefault="00701497" w:rsidP="00701497">
      <w:pPr>
        <w:spacing w:after="0"/>
        <w:jc w:val="both"/>
        <w:rPr>
          <w:rFonts w:eastAsia="Times New Roman" w:cstheme="minorHAnsi"/>
          <w:i/>
          <w:sz w:val="20"/>
          <w:szCs w:val="20"/>
        </w:rPr>
      </w:pPr>
      <w:r w:rsidRPr="005E6AC7">
        <w:rPr>
          <w:rFonts w:eastAsia="Times New Roman" w:cstheme="minorHAnsi"/>
          <w:i/>
          <w:sz w:val="20"/>
          <w:szCs w:val="20"/>
        </w:rPr>
        <w:t xml:space="preserve">Each month we receive dozens of questions about your rights on the job.  The following are some GENERAL answers.  If </w:t>
      </w:r>
      <w:r w:rsidRPr="005E6AC7">
        <w:rPr>
          <w:rFonts w:eastAsia="Times New Roman" w:cstheme="minorHAnsi"/>
          <w:i/>
          <w:sz w:val="20"/>
          <w:szCs w:val="20"/>
          <w:u w:val="single"/>
        </w:rPr>
        <w:t>you</w:t>
      </w:r>
      <w:r w:rsidRPr="005E6AC7">
        <w:rPr>
          <w:rFonts w:eastAsia="Times New Roman" w:cstheme="minorHAnsi"/>
          <w:i/>
          <w:sz w:val="20"/>
          <w:szCs w:val="20"/>
        </w:rPr>
        <w:t xml:space="preserve"> have a specific problem, talk to a Board Rep or CEA Staff at (562) 433-6983 or </w:t>
      </w:r>
      <w:hyperlink r:id="rId9" w:history="1">
        <w:r w:rsidRPr="005E6AC7">
          <w:rPr>
            <w:rFonts w:eastAsia="Times New Roman" w:cstheme="minorHAnsi"/>
            <w:i/>
            <w:sz w:val="20"/>
            <w:szCs w:val="20"/>
            <w:u w:val="single"/>
          </w:rPr>
          <w:t>cea@cityemployees.net</w:t>
        </w:r>
      </w:hyperlink>
      <w:r w:rsidRPr="005E6AC7">
        <w:rPr>
          <w:rFonts w:eastAsia="Times New Roman" w:cstheme="minorHAnsi"/>
          <w:i/>
          <w:sz w:val="20"/>
          <w:szCs w:val="20"/>
        </w:rPr>
        <w:t xml:space="preserve">.  </w:t>
      </w:r>
    </w:p>
    <w:p w14:paraId="78317C5A" w14:textId="77777777" w:rsidR="00701497" w:rsidRPr="00BB046E" w:rsidRDefault="00701497" w:rsidP="00701497">
      <w:pPr>
        <w:spacing w:after="0" w:line="240" w:lineRule="auto"/>
        <w:jc w:val="both"/>
        <w:rPr>
          <w:rFonts w:cstheme="minorHAnsi"/>
          <w:b/>
          <w:color w:val="BFBFBF" w:themeColor="background1" w:themeShade="BF"/>
          <w:sz w:val="16"/>
          <w:szCs w:val="16"/>
          <w:u w:val="single"/>
        </w:rPr>
      </w:pPr>
    </w:p>
    <w:p w14:paraId="1D7C7A24" w14:textId="77777777" w:rsidR="00701497" w:rsidRPr="00024A59" w:rsidRDefault="00701497" w:rsidP="00701497">
      <w:pPr>
        <w:spacing w:after="0" w:line="240" w:lineRule="auto"/>
        <w:jc w:val="both"/>
        <w:rPr>
          <w:rFonts w:cstheme="minorHAnsi"/>
          <w:b/>
          <w:color w:val="BFBFBF" w:themeColor="background1" w:themeShade="BF"/>
          <w:sz w:val="26"/>
          <w:szCs w:val="26"/>
        </w:rPr>
        <w:sectPr w:rsidR="00701497" w:rsidRPr="00024A59" w:rsidSect="008D4B16">
          <w:footerReference w:type="default" r:id="rId10"/>
          <w:pgSz w:w="12240" w:h="15840"/>
          <w:pgMar w:top="1440" w:right="1440" w:bottom="1440" w:left="1440" w:header="720" w:footer="720" w:gutter="0"/>
          <w:pgBorders w:offsetFrom="page">
            <w:top w:val="single" w:sz="18" w:space="24" w:color="767171" w:themeColor="background2" w:themeShade="80"/>
            <w:left w:val="single" w:sz="18" w:space="24" w:color="767171" w:themeColor="background2" w:themeShade="80"/>
            <w:bottom w:val="single" w:sz="18" w:space="24" w:color="767171" w:themeColor="background2" w:themeShade="80"/>
            <w:right w:val="single" w:sz="18" w:space="24" w:color="767171" w:themeColor="background2" w:themeShade="80"/>
          </w:pgBorders>
          <w:cols w:space="720"/>
          <w:docGrid w:linePitch="360"/>
        </w:sectPr>
      </w:pPr>
    </w:p>
    <w:p w14:paraId="215F3464" w14:textId="77777777" w:rsidR="00920B5B" w:rsidRPr="00220842" w:rsidRDefault="00920B5B" w:rsidP="00920B5B">
      <w:pPr>
        <w:spacing w:after="0" w:line="240" w:lineRule="auto"/>
        <w:jc w:val="both"/>
        <w:rPr>
          <w:rFonts w:cstheme="minorHAnsi"/>
          <w:b/>
          <w:sz w:val="26"/>
          <w:szCs w:val="26"/>
        </w:rPr>
      </w:pPr>
      <w:r w:rsidRPr="00220842">
        <w:rPr>
          <w:rFonts w:cstheme="minorHAnsi"/>
          <w:b/>
          <w:sz w:val="26"/>
          <w:szCs w:val="26"/>
        </w:rPr>
        <w:t xml:space="preserve">Question:   Can you explain to me how Jury Duty Leave works?  I’ve just received a Juror Summons.  The court is about an hour away from my work, depending on traffic.  Will I still get my pay from my Agency?  For how many days?  Do I get paid by the court too?  What if I’m dismissed part way through the day, do I have to return to my job?  Even if, by the time I get there, my shift will be over?  Does it matter if there’s 4 hours or more left in my shift?  </w:t>
      </w:r>
    </w:p>
    <w:p w14:paraId="5C69A7E2" w14:textId="77777777" w:rsidR="00920B5B" w:rsidRPr="00220842" w:rsidRDefault="00920B5B" w:rsidP="00920B5B">
      <w:pPr>
        <w:spacing w:after="0" w:line="240" w:lineRule="auto"/>
        <w:jc w:val="both"/>
        <w:rPr>
          <w:sz w:val="26"/>
          <w:szCs w:val="26"/>
        </w:rPr>
      </w:pPr>
    </w:p>
    <w:p w14:paraId="5C5A74D9" w14:textId="2A6A0D01" w:rsidR="00920B5B" w:rsidRPr="00220842" w:rsidRDefault="00920B5B" w:rsidP="00920B5B">
      <w:pPr>
        <w:spacing w:after="0" w:line="240" w:lineRule="auto"/>
        <w:jc w:val="both"/>
        <w:rPr>
          <w:sz w:val="26"/>
          <w:szCs w:val="26"/>
        </w:rPr>
      </w:pPr>
      <w:r w:rsidRPr="00220842">
        <w:rPr>
          <w:rFonts w:cstheme="minorHAnsi"/>
          <w:b/>
          <w:sz w:val="26"/>
          <w:szCs w:val="26"/>
        </w:rPr>
        <w:t xml:space="preserve">Answer:  </w:t>
      </w:r>
      <w:r w:rsidR="00A14CDD" w:rsidRPr="00220842">
        <w:rPr>
          <w:rFonts w:cstheme="minorHAnsi"/>
          <w:sz w:val="26"/>
          <w:szCs w:val="26"/>
        </w:rPr>
        <w:t>California State law s</w:t>
      </w:r>
      <w:r w:rsidR="005E5EBC">
        <w:rPr>
          <w:rFonts w:cstheme="minorHAnsi"/>
          <w:sz w:val="26"/>
          <w:szCs w:val="26"/>
        </w:rPr>
        <w:t>ays</w:t>
      </w:r>
      <w:r w:rsidR="00A14CDD" w:rsidRPr="00220842">
        <w:rPr>
          <w:rFonts w:cstheme="minorHAnsi"/>
          <w:sz w:val="26"/>
          <w:szCs w:val="26"/>
        </w:rPr>
        <w:t xml:space="preserve"> that employers must grant time off to employees who have been called as jurors or witnesses and it also prohibits employers from discriminating against employees for taking this time. The law does not require that jury duty be paid. </w:t>
      </w:r>
      <w:r w:rsidR="005E5EBC">
        <w:rPr>
          <w:rFonts w:cstheme="minorHAnsi"/>
          <w:sz w:val="26"/>
          <w:szCs w:val="26"/>
        </w:rPr>
        <w:t>But</w:t>
      </w:r>
      <w:r w:rsidR="00A14CDD" w:rsidRPr="00220842">
        <w:rPr>
          <w:rFonts w:cstheme="minorHAnsi"/>
          <w:sz w:val="26"/>
          <w:szCs w:val="26"/>
        </w:rPr>
        <w:t xml:space="preserve"> compensation </w:t>
      </w:r>
      <w:r w:rsidR="005E5EBC">
        <w:rPr>
          <w:rFonts w:cstheme="minorHAnsi"/>
          <w:sz w:val="26"/>
          <w:szCs w:val="26"/>
        </w:rPr>
        <w:t xml:space="preserve">for jury service </w:t>
      </w:r>
      <w:r w:rsidR="00A14CDD" w:rsidRPr="00220842">
        <w:rPr>
          <w:rFonts w:cstheme="minorHAnsi"/>
          <w:sz w:val="26"/>
          <w:szCs w:val="26"/>
        </w:rPr>
        <w:t>is negotiable</w:t>
      </w:r>
      <w:r w:rsidR="005E5EBC">
        <w:rPr>
          <w:rFonts w:cstheme="minorHAnsi"/>
          <w:sz w:val="26"/>
          <w:szCs w:val="26"/>
        </w:rPr>
        <w:t>.</w:t>
      </w:r>
      <w:r w:rsidR="00A14CDD" w:rsidRPr="00220842">
        <w:rPr>
          <w:rFonts w:cstheme="minorHAnsi"/>
          <w:sz w:val="26"/>
          <w:szCs w:val="26"/>
        </w:rPr>
        <w:t xml:space="preserve"> </w:t>
      </w:r>
      <w:r w:rsidR="005E5EBC">
        <w:rPr>
          <w:rFonts w:cstheme="minorHAnsi"/>
          <w:sz w:val="26"/>
          <w:szCs w:val="26"/>
        </w:rPr>
        <w:t xml:space="preserve"> M</w:t>
      </w:r>
      <w:r w:rsidR="00A14CDD" w:rsidRPr="00220842">
        <w:rPr>
          <w:rFonts w:cstheme="minorHAnsi"/>
          <w:sz w:val="26"/>
          <w:szCs w:val="26"/>
        </w:rPr>
        <w:t xml:space="preserve">ost MOUs </w:t>
      </w:r>
      <w:r w:rsidR="00EB1D1F">
        <w:rPr>
          <w:rFonts w:cstheme="minorHAnsi"/>
          <w:sz w:val="26"/>
          <w:szCs w:val="26"/>
        </w:rPr>
        <w:t>include</w:t>
      </w:r>
      <w:r w:rsidR="00A14CDD" w:rsidRPr="00220842">
        <w:rPr>
          <w:rFonts w:cstheme="minorHAnsi"/>
          <w:sz w:val="26"/>
          <w:szCs w:val="26"/>
        </w:rPr>
        <w:t xml:space="preserve"> </w:t>
      </w:r>
      <w:r w:rsidR="00EB1D1F">
        <w:rPr>
          <w:rFonts w:cstheme="minorHAnsi"/>
          <w:sz w:val="26"/>
          <w:szCs w:val="26"/>
        </w:rPr>
        <w:t>provisions</w:t>
      </w:r>
      <w:r w:rsidR="00A14CDD" w:rsidRPr="00220842">
        <w:rPr>
          <w:rFonts w:cstheme="minorHAnsi"/>
          <w:sz w:val="26"/>
          <w:szCs w:val="26"/>
        </w:rPr>
        <w:t xml:space="preserve"> that compensate </w:t>
      </w:r>
      <w:r w:rsidR="005E5EBC">
        <w:rPr>
          <w:rFonts w:cstheme="minorHAnsi"/>
          <w:sz w:val="26"/>
          <w:szCs w:val="26"/>
        </w:rPr>
        <w:t>you</w:t>
      </w:r>
      <w:r w:rsidR="00A14CDD" w:rsidRPr="00220842">
        <w:rPr>
          <w:rFonts w:cstheme="minorHAnsi"/>
          <w:sz w:val="26"/>
          <w:szCs w:val="26"/>
        </w:rPr>
        <w:t xml:space="preserve"> for the time </w:t>
      </w:r>
      <w:r w:rsidR="005E5EBC">
        <w:rPr>
          <w:rFonts w:cstheme="minorHAnsi"/>
          <w:sz w:val="26"/>
          <w:szCs w:val="26"/>
        </w:rPr>
        <w:t xml:space="preserve">you </w:t>
      </w:r>
      <w:r w:rsidR="00EB1D1F">
        <w:rPr>
          <w:rFonts w:cstheme="minorHAnsi"/>
          <w:sz w:val="26"/>
          <w:szCs w:val="26"/>
        </w:rPr>
        <w:t>spend on jury duty</w:t>
      </w:r>
      <w:r w:rsidR="00A14CDD" w:rsidRPr="00220842">
        <w:rPr>
          <w:rFonts w:cstheme="minorHAnsi"/>
          <w:sz w:val="26"/>
          <w:szCs w:val="26"/>
        </w:rPr>
        <w:t xml:space="preserve">. </w:t>
      </w:r>
      <w:r w:rsidR="00D24D98">
        <w:rPr>
          <w:rFonts w:cstheme="minorHAnsi"/>
          <w:sz w:val="26"/>
          <w:szCs w:val="26"/>
        </w:rPr>
        <w:t xml:space="preserve"> </w:t>
      </w:r>
      <w:r w:rsidR="005E5EBC">
        <w:rPr>
          <w:rFonts w:cstheme="minorHAnsi"/>
          <w:sz w:val="26"/>
          <w:szCs w:val="26"/>
        </w:rPr>
        <w:t>Some</w:t>
      </w:r>
      <w:r w:rsidR="00A14CDD" w:rsidRPr="00220842">
        <w:rPr>
          <w:rFonts w:cstheme="minorHAnsi"/>
          <w:sz w:val="26"/>
          <w:szCs w:val="26"/>
        </w:rPr>
        <w:t xml:space="preserve"> MOUs </w:t>
      </w:r>
      <w:r w:rsidR="005E5EBC">
        <w:rPr>
          <w:rFonts w:cstheme="minorHAnsi"/>
          <w:sz w:val="26"/>
          <w:szCs w:val="26"/>
        </w:rPr>
        <w:t xml:space="preserve">even </w:t>
      </w:r>
      <w:r w:rsidR="00D24D98">
        <w:rPr>
          <w:rFonts w:cstheme="minorHAnsi"/>
          <w:sz w:val="26"/>
          <w:szCs w:val="26"/>
        </w:rPr>
        <w:t xml:space="preserve">have specific language regarding what employees should do if released from jury service early.  </w:t>
      </w:r>
      <w:r w:rsidR="005E5EBC">
        <w:rPr>
          <w:rFonts w:cstheme="minorHAnsi"/>
          <w:sz w:val="26"/>
          <w:szCs w:val="26"/>
        </w:rPr>
        <w:t>It’s always a good idea to check y</w:t>
      </w:r>
      <w:r w:rsidR="00A14CDD" w:rsidRPr="00220842">
        <w:rPr>
          <w:rFonts w:cstheme="minorHAnsi"/>
          <w:sz w:val="26"/>
          <w:szCs w:val="26"/>
        </w:rPr>
        <w:t xml:space="preserve">our MOU or your </w:t>
      </w:r>
      <w:r w:rsidR="005E5EBC">
        <w:rPr>
          <w:rFonts w:cstheme="minorHAnsi"/>
          <w:sz w:val="26"/>
          <w:szCs w:val="26"/>
        </w:rPr>
        <w:t>personnel</w:t>
      </w:r>
      <w:r w:rsidR="00A14CDD" w:rsidRPr="00220842">
        <w:rPr>
          <w:rFonts w:cstheme="minorHAnsi"/>
          <w:sz w:val="26"/>
          <w:szCs w:val="26"/>
        </w:rPr>
        <w:t xml:space="preserve"> handbook for more info.</w:t>
      </w:r>
      <w:r w:rsidR="005E5EBC">
        <w:rPr>
          <w:rFonts w:cstheme="minorHAnsi"/>
          <w:sz w:val="26"/>
          <w:szCs w:val="26"/>
        </w:rPr>
        <w:t xml:space="preserve">  </w:t>
      </w:r>
      <w:r w:rsidR="00FF7BC7">
        <w:rPr>
          <w:rFonts w:cstheme="minorHAnsi"/>
          <w:sz w:val="26"/>
          <w:szCs w:val="26"/>
        </w:rPr>
        <w:t xml:space="preserve">If you can’t find anything on point, </w:t>
      </w:r>
      <w:r w:rsidR="005E5EBC">
        <w:rPr>
          <w:rFonts w:cstheme="minorHAnsi"/>
          <w:sz w:val="26"/>
          <w:szCs w:val="26"/>
        </w:rPr>
        <w:t xml:space="preserve">it’s </w:t>
      </w:r>
      <w:r w:rsidR="005E5EBC">
        <w:rPr>
          <w:rFonts w:cstheme="minorHAnsi"/>
          <w:sz w:val="26"/>
          <w:szCs w:val="26"/>
        </w:rPr>
        <w:t xml:space="preserve">best to report back to work when released from </w:t>
      </w:r>
      <w:r w:rsidR="00FF7BC7">
        <w:rPr>
          <w:rFonts w:cstheme="minorHAnsi"/>
          <w:sz w:val="26"/>
          <w:szCs w:val="26"/>
        </w:rPr>
        <w:t xml:space="preserve">jury </w:t>
      </w:r>
      <w:r w:rsidR="005E5EBC">
        <w:rPr>
          <w:rFonts w:cstheme="minorHAnsi"/>
          <w:sz w:val="26"/>
          <w:szCs w:val="26"/>
        </w:rPr>
        <w:t>service</w:t>
      </w:r>
      <w:r w:rsidR="00DB6EB0">
        <w:rPr>
          <w:rFonts w:cstheme="minorHAnsi"/>
          <w:sz w:val="26"/>
          <w:szCs w:val="26"/>
        </w:rPr>
        <w:t>,</w:t>
      </w:r>
      <w:r w:rsidR="005E5EBC">
        <w:rPr>
          <w:rFonts w:cstheme="minorHAnsi"/>
          <w:sz w:val="26"/>
          <w:szCs w:val="26"/>
        </w:rPr>
        <w:t xml:space="preserve"> unless your boss says otherwise</w:t>
      </w:r>
      <w:r w:rsidR="00DB6EB0">
        <w:rPr>
          <w:rFonts w:cstheme="minorHAnsi"/>
          <w:sz w:val="26"/>
          <w:szCs w:val="26"/>
        </w:rPr>
        <w:t>,</w:t>
      </w:r>
      <w:r w:rsidR="005E5EBC">
        <w:rPr>
          <w:rFonts w:cstheme="minorHAnsi"/>
          <w:sz w:val="26"/>
          <w:szCs w:val="26"/>
        </w:rPr>
        <w:t xml:space="preserve"> or your absence for the day has been preapproved. </w:t>
      </w:r>
    </w:p>
    <w:p w14:paraId="0E6404F8" w14:textId="77777777" w:rsidR="00920B5B" w:rsidRPr="00220842" w:rsidRDefault="00920B5B" w:rsidP="00920B5B">
      <w:pPr>
        <w:spacing w:after="0" w:line="240" w:lineRule="auto"/>
        <w:jc w:val="both"/>
        <w:rPr>
          <w:rFonts w:cstheme="minorHAnsi"/>
          <w:b/>
          <w:sz w:val="26"/>
          <w:szCs w:val="26"/>
        </w:rPr>
      </w:pPr>
    </w:p>
    <w:p w14:paraId="2E1F52C5" w14:textId="77777777" w:rsidR="00920B5B" w:rsidRPr="00220842" w:rsidRDefault="00920B5B" w:rsidP="00920B5B">
      <w:pPr>
        <w:spacing w:after="0" w:line="240" w:lineRule="auto"/>
        <w:jc w:val="both"/>
        <w:rPr>
          <w:rFonts w:cstheme="minorHAnsi"/>
          <w:b/>
          <w:sz w:val="26"/>
          <w:szCs w:val="26"/>
        </w:rPr>
      </w:pPr>
      <w:r w:rsidRPr="00220842">
        <w:rPr>
          <w:rFonts w:cstheme="minorHAnsi"/>
          <w:b/>
          <w:sz w:val="26"/>
          <w:szCs w:val="26"/>
        </w:rPr>
        <w:t>Question:  What are the rules concerning transfers?  I work as an office assistant at a counter in one Department.  My Agency just told me they are transferring me to another Department and I’ll now be a clerk.  I did not request a transfer, and my Association knew nothing about this.  It is not a promotion, nor is it retaliatory or disciplinary in nature, and my pay is not going down.  But I like my old job and would prefer to just work there, in the job I was hired into.  Did they violate anything?  Can I force them to transfer me back?  I’m not trying to rock the boat, but it doesn’t seem right.</w:t>
      </w:r>
    </w:p>
    <w:p w14:paraId="02B71DA5" w14:textId="77777777" w:rsidR="00920B5B" w:rsidRPr="00220842" w:rsidRDefault="00920B5B" w:rsidP="00920B5B">
      <w:pPr>
        <w:spacing w:after="0" w:line="240" w:lineRule="auto"/>
        <w:jc w:val="both"/>
        <w:rPr>
          <w:rFonts w:cstheme="minorHAnsi"/>
          <w:b/>
          <w:sz w:val="26"/>
          <w:szCs w:val="26"/>
        </w:rPr>
      </w:pPr>
    </w:p>
    <w:p w14:paraId="770531CC" w14:textId="4C090CBF" w:rsidR="00920B5B" w:rsidRPr="00220842" w:rsidRDefault="00920B5B" w:rsidP="00920B5B">
      <w:pPr>
        <w:spacing w:after="0" w:line="240" w:lineRule="auto"/>
        <w:jc w:val="both"/>
        <w:rPr>
          <w:rFonts w:cstheme="minorHAnsi"/>
          <w:b/>
          <w:sz w:val="26"/>
          <w:szCs w:val="26"/>
        </w:rPr>
      </w:pPr>
      <w:r w:rsidRPr="00220842">
        <w:rPr>
          <w:rFonts w:cstheme="minorHAnsi"/>
          <w:b/>
          <w:sz w:val="26"/>
          <w:szCs w:val="26"/>
        </w:rPr>
        <w:t xml:space="preserve">Answer:  </w:t>
      </w:r>
      <w:r w:rsidR="00A14CDD" w:rsidRPr="00220842">
        <w:rPr>
          <w:rFonts w:cstheme="minorHAnsi"/>
          <w:sz w:val="26"/>
          <w:szCs w:val="26"/>
        </w:rPr>
        <w:t>The rules regarding transfers are outline</w:t>
      </w:r>
      <w:r w:rsidR="00663BC0">
        <w:rPr>
          <w:rFonts w:cstheme="minorHAnsi"/>
          <w:sz w:val="26"/>
          <w:szCs w:val="26"/>
        </w:rPr>
        <w:t>d</w:t>
      </w:r>
      <w:r w:rsidR="00A14CDD" w:rsidRPr="00220842">
        <w:rPr>
          <w:rFonts w:cstheme="minorHAnsi"/>
          <w:sz w:val="26"/>
          <w:szCs w:val="26"/>
        </w:rPr>
        <w:t xml:space="preserve"> in your MOU or Agencies’ policies and procedures. Based on the information you have provided</w:t>
      </w:r>
      <w:r w:rsidR="00DB6EB0">
        <w:rPr>
          <w:rFonts w:cstheme="minorHAnsi"/>
          <w:sz w:val="26"/>
          <w:szCs w:val="26"/>
        </w:rPr>
        <w:t>,</w:t>
      </w:r>
      <w:r w:rsidR="00A14CDD" w:rsidRPr="00220842">
        <w:rPr>
          <w:rFonts w:cstheme="minorHAnsi"/>
          <w:sz w:val="26"/>
          <w:szCs w:val="26"/>
        </w:rPr>
        <w:t xml:space="preserve"> it appears that your Agency is relocating resources (you) </w:t>
      </w:r>
      <w:r w:rsidR="00A25BE6">
        <w:rPr>
          <w:rFonts w:cstheme="minorHAnsi"/>
          <w:sz w:val="26"/>
          <w:szCs w:val="26"/>
        </w:rPr>
        <w:t>based on operation</w:t>
      </w:r>
      <w:r w:rsidR="00DB6EB0">
        <w:rPr>
          <w:rFonts w:cstheme="minorHAnsi"/>
          <w:sz w:val="26"/>
          <w:szCs w:val="26"/>
        </w:rPr>
        <w:t>al</w:t>
      </w:r>
      <w:r w:rsidR="00A25BE6">
        <w:rPr>
          <w:rFonts w:cstheme="minorHAnsi"/>
          <w:sz w:val="26"/>
          <w:szCs w:val="26"/>
        </w:rPr>
        <w:t xml:space="preserve"> n</w:t>
      </w:r>
      <w:r w:rsidR="00A14CDD" w:rsidRPr="00220842">
        <w:rPr>
          <w:rFonts w:cstheme="minorHAnsi"/>
          <w:sz w:val="26"/>
          <w:szCs w:val="26"/>
        </w:rPr>
        <w:t xml:space="preserve">eed. Unfortunately, your Agency has the right to do so. </w:t>
      </w:r>
      <w:r w:rsidR="006065C6">
        <w:rPr>
          <w:rFonts w:cstheme="minorHAnsi"/>
          <w:sz w:val="26"/>
          <w:szCs w:val="26"/>
        </w:rPr>
        <w:t xml:space="preserve"> </w:t>
      </w:r>
      <w:r w:rsidR="00A25BE6">
        <w:rPr>
          <w:rFonts w:cstheme="minorHAnsi"/>
          <w:sz w:val="26"/>
          <w:szCs w:val="26"/>
        </w:rPr>
        <w:t xml:space="preserve">But you do </w:t>
      </w:r>
      <w:r w:rsidR="00A14CDD" w:rsidRPr="00220842">
        <w:rPr>
          <w:rFonts w:cstheme="minorHAnsi"/>
          <w:sz w:val="26"/>
          <w:szCs w:val="26"/>
        </w:rPr>
        <w:t>have t</w:t>
      </w:r>
      <w:r w:rsidR="006065C6">
        <w:rPr>
          <w:rFonts w:cstheme="minorHAnsi"/>
          <w:sz w:val="26"/>
          <w:szCs w:val="26"/>
        </w:rPr>
        <w:t>he</w:t>
      </w:r>
      <w:r w:rsidR="00A14CDD" w:rsidRPr="00220842">
        <w:rPr>
          <w:rFonts w:cstheme="minorHAnsi"/>
          <w:sz w:val="26"/>
          <w:szCs w:val="26"/>
        </w:rPr>
        <w:t xml:space="preserve"> </w:t>
      </w:r>
      <w:r w:rsidR="00A14CDD" w:rsidRPr="00220842">
        <w:rPr>
          <w:rFonts w:cstheme="minorHAnsi"/>
          <w:sz w:val="26"/>
          <w:szCs w:val="26"/>
        </w:rPr>
        <w:lastRenderedPageBreak/>
        <w:t xml:space="preserve">right to question the reason for the transfer </w:t>
      </w:r>
      <w:r w:rsidR="00A25BE6">
        <w:rPr>
          <w:rFonts w:cstheme="minorHAnsi"/>
          <w:sz w:val="26"/>
          <w:szCs w:val="26"/>
        </w:rPr>
        <w:t xml:space="preserve">and possibly object </w:t>
      </w:r>
      <w:r w:rsidR="00A14CDD" w:rsidRPr="00220842">
        <w:rPr>
          <w:rFonts w:cstheme="minorHAnsi"/>
          <w:sz w:val="26"/>
          <w:szCs w:val="26"/>
        </w:rPr>
        <w:t>if it changes the terms and conditions of your employment</w:t>
      </w:r>
      <w:r w:rsidR="00A25BE6">
        <w:rPr>
          <w:rFonts w:cstheme="minorHAnsi"/>
          <w:sz w:val="26"/>
          <w:szCs w:val="26"/>
        </w:rPr>
        <w:t xml:space="preserve"> or is retaliatory or punitive</w:t>
      </w:r>
      <w:r w:rsidR="00A14CDD" w:rsidRPr="00220842">
        <w:rPr>
          <w:rFonts w:cstheme="minorHAnsi"/>
          <w:sz w:val="26"/>
          <w:szCs w:val="26"/>
        </w:rPr>
        <w:t xml:space="preserve">. </w:t>
      </w:r>
      <w:r w:rsidR="006065C6">
        <w:rPr>
          <w:rFonts w:cstheme="minorHAnsi"/>
          <w:sz w:val="26"/>
          <w:szCs w:val="26"/>
        </w:rPr>
        <w:t xml:space="preserve"> </w:t>
      </w:r>
      <w:r w:rsidR="00A25BE6">
        <w:rPr>
          <w:rFonts w:cstheme="minorHAnsi"/>
          <w:sz w:val="26"/>
          <w:szCs w:val="26"/>
        </w:rPr>
        <w:t>I</w:t>
      </w:r>
      <w:r w:rsidR="006065C6">
        <w:rPr>
          <w:rFonts w:cstheme="minorHAnsi"/>
          <w:sz w:val="26"/>
          <w:szCs w:val="26"/>
        </w:rPr>
        <w:t>f the transfer will have you performing your old job duties in a new department, you’re probably out of luck when it comes to challenging it.  If your job title and duties are changing, then you might have a grievance to stop them changing your job title involuntarily.  The best way to find out is to c</w:t>
      </w:r>
      <w:r w:rsidR="00A14CDD" w:rsidRPr="00220842">
        <w:rPr>
          <w:rFonts w:cstheme="minorHAnsi"/>
          <w:sz w:val="26"/>
          <w:szCs w:val="26"/>
        </w:rPr>
        <w:t>ontact your Association Staff immediately</w:t>
      </w:r>
      <w:r w:rsidR="006065C6">
        <w:rPr>
          <w:rFonts w:cstheme="minorHAnsi"/>
          <w:sz w:val="26"/>
          <w:szCs w:val="26"/>
        </w:rPr>
        <w:t xml:space="preserve"> for help</w:t>
      </w:r>
      <w:r w:rsidR="00A14CDD" w:rsidRPr="00220842">
        <w:rPr>
          <w:rFonts w:cstheme="minorHAnsi"/>
          <w:sz w:val="26"/>
          <w:szCs w:val="26"/>
        </w:rPr>
        <w:t>.</w:t>
      </w:r>
    </w:p>
    <w:p w14:paraId="1D54581F" w14:textId="77777777" w:rsidR="00920B5B" w:rsidRPr="00220842" w:rsidRDefault="00920B5B" w:rsidP="00920B5B">
      <w:pPr>
        <w:spacing w:after="0" w:line="240" w:lineRule="auto"/>
        <w:jc w:val="both"/>
        <w:rPr>
          <w:rFonts w:cstheme="minorHAnsi"/>
          <w:b/>
          <w:sz w:val="26"/>
          <w:szCs w:val="26"/>
        </w:rPr>
      </w:pPr>
    </w:p>
    <w:p w14:paraId="47C55E39" w14:textId="4BC9EC50" w:rsidR="00920B5B" w:rsidRPr="00220842" w:rsidRDefault="00920B5B" w:rsidP="00920B5B">
      <w:pPr>
        <w:spacing w:after="0" w:line="240" w:lineRule="auto"/>
        <w:jc w:val="both"/>
        <w:rPr>
          <w:rFonts w:cstheme="minorHAnsi"/>
          <w:b/>
          <w:sz w:val="26"/>
          <w:szCs w:val="26"/>
        </w:rPr>
      </w:pPr>
      <w:r w:rsidRPr="00220842">
        <w:rPr>
          <w:rFonts w:cstheme="minorHAnsi"/>
          <w:b/>
          <w:sz w:val="26"/>
          <w:szCs w:val="26"/>
        </w:rPr>
        <w:t xml:space="preserve">Question:  Is there a law that says the Agency must give me my job description?  I promoted into a position when my supervisor left, which is basically some of my old job, combined with some of hers.  They gave me a 5% increase.  I was told I’d get a new job title and new job description.  That was a year ago!  The Agency wanted to conduct an Agency-wide classification study and I believe they did, but I was never given what the consultant proposed for my position and I’ve asked our HR Director and still get </w:t>
      </w:r>
      <w:r w:rsidR="00FF2EEA">
        <w:rPr>
          <w:rFonts w:cstheme="minorHAnsi"/>
          <w:b/>
          <w:sz w:val="26"/>
          <w:szCs w:val="26"/>
        </w:rPr>
        <w:t>the</w:t>
      </w:r>
      <w:r w:rsidRPr="00220842">
        <w:rPr>
          <w:rFonts w:cstheme="minorHAnsi"/>
          <w:b/>
          <w:sz w:val="26"/>
          <w:szCs w:val="26"/>
        </w:rPr>
        <w:t xml:space="preserve"> run-around.  I’ve heard they’re proposing new job specs and it’s on the next </w:t>
      </w:r>
      <w:proofErr w:type="gramStart"/>
      <w:r w:rsidRPr="00220842">
        <w:rPr>
          <w:rFonts w:cstheme="minorHAnsi"/>
          <w:b/>
          <w:sz w:val="26"/>
          <w:szCs w:val="26"/>
        </w:rPr>
        <w:t>Agenda</w:t>
      </w:r>
      <w:proofErr w:type="gramEnd"/>
      <w:r w:rsidRPr="00220842">
        <w:rPr>
          <w:rFonts w:cstheme="minorHAnsi"/>
          <w:b/>
          <w:sz w:val="26"/>
          <w:szCs w:val="26"/>
        </w:rPr>
        <w:t xml:space="preserve"> but they still haven’t given it to me.  What can I do?  Don’t I have a say in what my job is?  And my pay scale?</w:t>
      </w:r>
    </w:p>
    <w:p w14:paraId="79BC9D0D" w14:textId="77777777" w:rsidR="00920B5B" w:rsidRPr="00220842" w:rsidRDefault="00920B5B" w:rsidP="00920B5B">
      <w:pPr>
        <w:jc w:val="both"/>
        <w:rPr>
          <w:rFonts w:cstheme="minorHAnsi"/>
          <w:b/>
          <w:sz w:val="26"/>
          <w:szCs w:val="26"/>
        </w:rPr>
      </w:pPr>
    </w:p>
    <w:p w14:paraId="1D8ADBDE" w14:textId="567A4C63" w:rsidR="00920B5B" w:rsidRPr="00220842" w:rsidRDefault="00920B5B" w:rsidP="00920B5B">
      <w:pPr>
        <w:spacing w:after="0" w:line="240" w:lineRule="auto"/>
        <w:jc w:val="both"/>
        <w:rPr>
          <w:rFonts w:cstheme="minorHAnsi"/>
          <w:sz w:val="26"/>
          <w:szCs w:val="26"/>
        </w:rPr>
      </w:pPr>
      <w:r w:rsidRPr="00220842">
        <w:rPr>
          <w:rFonts w:cstheme="minorHAnsi"/>
          <w:b/>
          <w:sz w:val="26"/>
          <w:szCs w:val="26"/>
        </w:rPr>
        <w:t xml:space="preserve">Answer:  </w:t>
      </w:r>
      <w:r w:rsidR="00A14CDD" w:rsidRPr="00220842">
        <w:rPr>
          <w:rFonts w:cstheme="minorHAnsi"/>
          <w:sz w:val="26"/>
          <w:szCs w:val="26"/>
        </w:rPr>
        <w:t xml:space="preserve">You absolutely have a right! You are performing the job and should therefore have a say. Get your Association involved NOW! Your Association has a right to meet and </w:t>
      </w:r>
      <w:r w:rsidR="00A14CDD" w:rsidRPr="00220842">
        <w:rPr>
          <w:rFonts w:cstheme="minorHAnsi"/>
          <w:sz w:val="26"/>
          <w:szCs w:val="26"/>
        </w:rPr>
        <w:t xml:space="preserve">confer over </w:t>
      </w:r>
      <w:r w:rsidR="00DB6EB0">
        <w:rPr>
          <w:rFonts w:cstheme="minorHAnsi"/>
          <w:sz w:val="26"/>
          <w:szCs w:val="26"/>
        </w:rPr>
        <w:t xml:space="preserve">your </w:t>
      </w:r>
      <w:r w:rsidR="00A14CDD" w:rsidRPr="00220842">
        <w:rPr>
          <w:rFonts w:cstheme="minorHAnsi"/>
          <w:sz w:val="26"/>
          <w:szCs w:val="26"/>
        </w:rPr>
        <w:t xml:space="preserve">job description because it could potentially change the </w:t>
      </w:r>
      <w:r w:rsidR="00D24D98">
        <w:rPr>
          <w:rFonts w:cstheme="minorHAnsi"/>
          <w:sz w:val="26"/>
          <w:szCs w:val="26"/>
        </w:rPr>
        <w:t xml:space="preserve">wages and </w:t>
      </w:r>
      <w:r w:rsidR="00A14CDD" w:rsidRPr="00220842">
        <w:rPr>
          <w:rFonts w:cstheme="minorHAnsi"/>
          <w:sz w:val="26"/>
          <w:szCs w:val="26"/>
        </w:rPr>
        <w:t>terms and condition</w:t>
      </w:r>
      <w:r w:rsidR="00EB1D1F">
        <w:rPr>
          <w:rFonts w:cstheme="minorHAnsi"/>
          <w:sz w:val="26"/>
          <w:szCs w:val="26"/>
        </w:rPr>
        <w:t>s</w:t>
      </w:r>
      <w:r w:rsidR="00A14CDD" w:rsidRPr="00220842">
        <w:rPr>
          <w:rFonts w:cstheme="minorHAnsi"/>
          <w:sz w:val="26"/>
          <w:szCs w:val="26"/>
        </w:rPr>
        <w:t xml:space="preserve"> of your employment. The Agency should present you with the proposed changes to your job description and the proposed pay. This is completely </w:t>
      </w:r>
      <w:r w:rsidR="00BC1300" w:rsidRPr="00220842">
        <w:rPr>
          <w:rFonts w:cstheme="minorHAnsi"/>
          <w:sz w:val="26"/>
          <w:szCs w:val="26"/>
        </w:rPr>
        <w:t>negotiable,</w:t>
      </w:r>
      <w:r w:rsidR="00A14CDD" w:rsidRPr="00220842">
        <w:rPr>
          <w:rFonts w:cstheme="minorHAnsi"/>
          <w:sz w:val="26"/>
          <w:szCs w:val="26"/>
        </w:rPr>
        <w:t xml:space="preserve"> and your Association and you should work together to make sure your job description and pay make sense to you.</w:t>
      </w:r>
    </w:p>
    <w:p w14:paraId="73219249" w14:textId="77777777" w:rsidR="00920B5B" w:rsidRPr="00220842" w:rsidRDefault="00920B5B" w:rsidP="00920B5B">
      <w:pPr>
        <w:spacing w:after="0" w:line="240" w:lineRule="auto"/>
        <w:jc w:val="both"/>
        <w:rPr>
          <w:rFonts w:cstheme="minorHAnsi"/>
          <w:b/>
          <w:sz w:val="26"/>
          <w:szCs w:val="26"/>
        </w:rPr>
      </w:pPr>
    </w:p>
    <w:p w14:paraId="69F5F506" w14:textId="22332AD9" w:rsidR="00920B5B" w:rsidRPr="00220842" w:rsidRDefault="00920B5B" w:rsidP="00920B5B">
      <w:pPr>
        <w:spacing w:after="0" w:line="240" w:lineRule="auto"/>
        <w:jc w:val="both"/>
        <w:rPr>
          <w:rFonts w:cstheme="minorHAnsi"/>
          <w:b/>
          <w:sz w:val="26"/>
          <w:szCs w:val="26"/>
        </w:rPr>
      </w:pPr>
      <w:r w:rsidRPr="00220842">
        <w:rPr>
          <w:rFonts w:cstheme="minorHAnsi"/>
          <w:b/>
          <w:sz w:val="26"/>
          <w:szCs w:val="26"/>
        </w:rPr>
        <w:t xml:space="preserve">Question:  I’m a maintenance worker and my Agency is proposing to consolidate the maintenance worker series into a general series at a I, II, and a Lead.  Right now, there’s “Maintenance Worker – Parks” </w:t>
      </w:r>
      <w:r w:rsidR="00EB1D1F">
        <w:rPr>
          <w:rFonts w:cstheme="minorHAnsi"/>
          <w:b/>
          <w:sz w:val="26"/>
          <w:szCs w:val="26"/>
        </w:rPr>
        <w:t>and</w:t>
      </w:r>
      <w:r w:rsidRPr="00220842">
        <w:rPr>
          <w:rFonts w:cstheme="minorHAnsi"/>
          <w:b/>
          <w:sz w:val="26"/>
          <w:szCs w:val="26"/>
        </w:rPr>
        <w:t xml:space="preserve"> “Maintenance Worker – Streets,” etc.  They’re going to drop the Department designation and lump us all into one category.  My pay isn’t going down, but I’m wondering, does this affect my ability to promote?  Does it affect my seniority for layoffs or shift bidding?  Will I have to cross-train?  Will I still get paid for the certifications I hold?  Is this a good change?  What can I do?</w:t>
      </w:r>
    </w:p>
    <w:p w14:paraId="21677265" w14:textId="77777777" w:rsidR="00AD6CB4" w:rsidRPr="00220842" w:rsidRDefault="00AD6CB4" w:rsidP="00920B5B">
      <w:pPr>
        <w:spacing w:after="0" w:line="240" w:lineRule="auto"/>
        <w:jc w:val="both"/>
        <w:rPr>
          <w:rFonts w:cstheme="minorHAnsi"/>
          <w:b/>
          <w:sz w:val="26"/>
          <w:szCs w:val="26"/>
        </w:rPr>
      </w:pPr>
    </w:p>
    <w:p w14:paraId="3132CEE5" w14:textId="2969FF36" w:rsidR="00920B5B" w:rsidRPr="00220842" w:rsidRDefault="00920B5B" w:rsidP="00920B5B">
      <w:pPr>
        <w:spacing w:after="0" w:line="240" w:lineRule="auto"/>
        <w:jc w:val="both"/>
        <w:rPr>
          <w:rFonts w:cstheme="minorHAnsi"/>
          <w:sz w:val="26"/>
          <w:szCs w:val="26"/>
        </w:rPr>
      </w:pPr>
      <w:r w:rsidRPr="00220842">
        <w:rPr>
          <w:rFonts w:cstheme="minorHAnsi"/>
          <w:b/>
          <w:sz w:val="26"/>
          <w:szCs w:val="26"/>
        </w:rPr>
        <w:t xml:space="preserve">Answer:  </w:t>
      </w:r>
      <w:r w:rsidR="00FF2EEA">
        <w:rPr>
          <w:rFonts w:cstheme="minorHAnsi"/>
          <w:sz w:val="26"/>
          <w:szCs w:val="26"/>
        </w:rPr>
        <w:t xml:space="preserve">That all depends.  Most of those questions are negotiable.  </w:t>
      </w:r>
      <w:r w:rsidR="00A14CDD" w:rsidRPr="00220842">
        <w:rPr>
          <w:rFonts w:cstheme="minorHAnsi"/>
          <w:sz w:val="26"/>
          <w:szCs w:val="26"/>
        </w:rPr>
        <w:t>The best thing for you to do is contact your Association staff now. These types of consolidations have their pros and cons and you need a professional to help you sort through all these questions. Most of the answers to your questions are probably yes and so you need to be clear about what th</w:t>
      </w:r>
      <w:r w:rsidR="00BC1300">
        <w:rPr>
          <w:rFonts w:cstheme="minorHAnsi"/>
          <w:sz w:val="26"/>
          <w:szCs w:val="26"/>
        </w:rPr>
        <w:t>is</w:t>
      </w:r>
      <w:r w:rsidR="00A14CDD" w:rsidRPr="00220842">
        <w:rPr>
          <w:rFonts w:cstheme="minorHAnsi"/>
          <w:sz w:val="26"/>
          <w:szCs w:val="26"/>
        </w:rPr>
        <w:t xml:space="preserve"> means to you and your co-workers. Before any changes are made to job </w:t>
      </w:r>
      <w:r w:rsidR="00A14CDD" w:rsidRPr="00220842">
        <w:rPr>
          <w:rFonts w:cstheme="minorHAnsi"/>
          <w:sz w:val="26"/>
          <w:szCs w:val="26"/>
        </w:rPr>
        <w:lastRenderedPageBreak/>
        <w:t xml:space="preserve">descriptions </w:t>
      </w:r>
      <w:r w:rsidR="00FF2EEA">
        <w:rPr>
          <w:rFonts w:cstheme="minorHAnsi"/>
          <w:sz w:val="26"/>
          <w:szCs w:val="26"/>
        </w:rPr>
        <w:t>we</w:t>
      </w:r>
      <w:r w:rsidR="00A14CDD" w:rsidRPr="00220842">
        <w:rPr>
          <w:rFonts w:cstheme="minorHAnsi"/>
          <w:sz w:val="26"/>
          <w:szCs w:val="26"/>
        </w:rPr>
        <w:t xml:space="preserve"> recommend that your Association meet and confer over the impacts of this consolidation.</w:t>
      </w:r>
    </w:p>
    <w:p w14:paraId="0537E8C2" w14:textId="77777777" w:rsidR="00920B5B" w:rsidRPr="00220842" w:rsidRDefault="00920B5B" w:rsidP="00920B5B">
      <w:pPr>
        <w:spacing w:after="0" w:line="240" w:lineRule="auto"/>
        <w:jc w:val="both"/>
        <w:rPr>
          <w:rFonts w:cstheme="minorHAnsi"/>
          <w:b/>
          <w:sz w:val="26"/>
          <w:szCs w:val="26"/>
        </w:rPr>
      </w:pPr>
    </w:p>
    <w:p w14:paraId="4CE90B7B" w14:textId="32D9CD0B" w:rsidR="00920B5B" w:rsidRPr="00220842" w:rsidRDefault="00920B5B" w:rsidP="00920B5B">
      <w:pPr>
        <w:spacing w:after="0" w:line="240" w:lineRule="auto"/>
        <w:jc w:val="both"/>
        <w:rPr>
          <w:rFonts w:cstheme="minorHAnsi"/>
          <w:b/>
          <w:sz w:val="26"/>
          <w:szCs w:val="26"/>
        </w:rPr>
      </w:pPr>
      <w:r w:rsidRPr="00220842">
        <w:rPr>
          <w:rFonts w:cstheme="minorHAnsi"/>
          <w:b/>
          <w:sz w:val="26"/>
          <w:szCs w:val="26"/>
        </w:rPr>
        <w:t>Question:  I was a “provisional” part time employee and my old boss promoted me to “provisional” full time.  I’ve been in this position for over a year.  Unfortunately, it has not worked out as well under my new boss.  He wants to demote me back to a provisional part time employee in another department.  He just gave me a late evaluation, which was negative, and I’m appealing it.  What are my rights, what options do I have?  My boss is harassing me, and</w:t>
      </w:r>
      <w:r w:rsidR="00DB6EB0">
        <w:rPr>
          <w:rFonts w:cstheme="minorHAnsi"/>
          <w:b/>
          <w:sz w:val="26"/>
          <w:szCs w:val="26"/>
        </w:rPr>
        <w:t xml:space="preserve"> he’s</w:t>
      </w:r>
      <w:r w:rsidRPr="00220842">
        <w:rPr>
          <w:rFonts w:cstheme="minorHAnsi"/>
          <w:b/>
          <w:sz w:val="26"/>
          <w:szCs w:val="26"/>
        </w:rPr>
        <w:t xml:space="preserve"> difficult to work for.  I don’t want to </w:t>
      </w:r>
      <w:r w:rsidRPr="00220842">
        <w:rPr>
          <w:rFonts w:cstheme="minorHAnsi"/>
          <w:b/>
          <w:sz w:val="26"/>
          <w:szCs w:val="26"/>
        </w:rPr>
        <w:t>keep working for him.  But I also don’t feel like I</w:t>
      </w:r>
      <w:r w:rsidR="00AB68DE">
        <w:rPr>
          <w:rFonts w:cstheme="minorHAnsi"/>
          <w:b/>
          <w:sz w:val="26"/>
          <w:szCs w:val="26"/>
        </w:rPr>
        <w:t>’m</w:t>
      </w:r>
      <w:r w:rsidRPr="00220842">
        <w:rPr>
          <w:rFonts w:cstheme="minorHAnsi"/>
          <w:b/>
          <w:sz w:val="26"/>
          <w:szCs w:val="26"/>
        </w:rPr>
        <w:t xml:space="preserve"> a “provisional” employee and I don’t want my hours cut.</w:t>
      </w:r>
    </w:p>
    <w:p w14:paraId="3E15FF0F" w14:textId="77777777" w:rsidR="00920B5B" w:rsidRPr="00220842" w:rsidRDefault="00920B5B" w:rsidP="00920B5B">
      <w:pPr>
        <w:spacing w:after="0" w:line="240" w:lineRule="auto"/>
        <w:jc w:val="both"/>
        <w:rPr>
          <w:rFonts w:cstheme="minorHAnsi"/>
          <w:b/>
          <w:sz w:val="26"/>
          <w:szCs w:val="26"/>
        </w:rPr>
      </w:pPr>
    </w:p>
    <w:p w14:paraId="6CE6CAAC" w14:textId="0D509A10" w:rsidR="00920B5B" w:rsidRPr="006158BD" w:rsidRDefault="00920B5B" w:rsidP="00920B5B">
      <w:pPr>
        <w:spacing w:after="0" w:line="240" w:lineRule="auto"/>
        <w:jc w:val="both"/>
        <w:rPr>
          <w:sz w:val="28"/>
          <w:szCs w:val="28"/>
        </w:rPr>
      </w:pPr>
      <w:r w:rsidRPr="00220842">
        <w:rPr>
          <w:rFonts w:cstheme="minorHAnsi"/>
          <w:b/>
          <w:sz w:val="26"/>
          <w:szCs w:val="26"/>
        </w:rPr>
        <w:t xml:space="preserve">Answer:  </w:t>
      </w:r>
      <w:r w:rsidR="00A14CDD" w:rsidRPr="00220842">
        <w:rPr>
          <w:rFonts w:cstheme="minorHAnsi"/>
          <w:sz w:val="26"/>
          <w:szCs w:val="26"/>
        </w:rPr>
        <w:t xml:space="preserve">You have the right to a harassment free workplace and should </w:t>
      </w:r>
      <w:proofErr w:type="gramStart"/>
      <w:r w:rsidR="00A14CDD" w:rsidRPr="00220842">
        <w:rPr>
          <w:rFonts w:cstheme="minorHAnsi"/>
          <w:sz w:val="26"/>
          <w:szCs w:val="26"/>
        </w:rPr>
        <w:t>definitely discuss</w:t>
      </w:r>
      <w:proofErr w:type="gramEnd"/>
      <w:r w:rsidR="00A14CDD" w:rsidRPr="00220842">
        <w:rPr>
          <w:rFonts w:cstheme="minorHAnsi"/>
          <w:sz w:val="26"/>
          <w:szCs w:val="26"/>
        </w:rPr>
        <w:t xml:space="preserve"> your options with your Association staff. A grievance might be a useful tool in this case. Unfortunately, as a provisional employee</w:t>
      </w:r>
      <w:r w:rsidR="00260E94">
        <w:rPr>
          <w:rFonts w:cstheme="minorHAnsi"/>
          <w:sz w:val="26"/>
          <w:szCs w:val="26"/>
        </w:rPr>
        <w:t>,</w:t>
      </w:r>
      <w:r w:rsidR="00A14CDD" w:rsidRPr="00220842">
        <w:rPr>
          <w:rFonts w:cstheme="minorHAnsi"/>
          <w:sz w:val="26"/>
          <w:szCs w:val="26"/>
        </w:rPr>
        <w:t xml:space="preserve"> you are only hired on an as-needed basis. Your job is not </w:t>
      </w:r>
      <w:r w:rsidR="00260E94" w:rsidRPr="00220842">
        <w:rPr>
          <w:rFonts w:cstheme="minorHAnsi"/>
          <w:sz w:val="26"/>
          <w:szCs w:val="26"/>
        </w:rPr>
        <w:t>guaranteed,</w:t>
      </w:r>
      <w:r w:rsidR="00A14CDD" w:rsidRPr="00220842">
        <w:rPr>
          <w:rFonts w:cstheme="minorHAnsi"/>
          <w:sz w:val="26"/>
          <w:szCs w:val="26"/>
        </w:rPr>
        <w:t xml:space="preserve"> and your hours can be reduced or eliminated. However, if the cut in hours is part of the harassment you are experiencing you should document this and discuss your options with your Association staff.</w:t>
      </w:r>
    </w:p>
    <w:p w14:paraId="5218C127" w14:textId="77777777" w:rsidR="00A14CDD" w:rsidRDefault="00A14CDD" w:rsidP="00920B5B">
      <w:pPr>
        <w:spacing w:after="0" w:line="240" w:lineRule="auto"/>
        <w:jc w:val="both"/>
        <w:rPr>
          <w:rFonts w:cstheme="minorHAnsi"/>
          <w:sz w:val="28"/>
          <w:szCs w:val="28"/>
        </w:rPr>
        <w:sectPr w:rsidR="00A14CDD" w:rsidSect="00A14CDD">
          <w:type w:val="continuous"/>
          <w:pgSz w:w="12240" w:h="15840"/>
          <w:pgMar w:top="1440" w:right="1440" w:bottom="1440" w:left="1440" w:header="720" w:footer="720" w:gutter="0"/>
          <w:pgBorders w:offsetFrom="page">
            <w:top w:val="single" w:sz="18" w:space="24" w:color="767171" w:themeColor="background2" w:themeShade="80"/>
            <w:left w:val="single" w:sz="18" w:space="24" w:color="767171" w:themeColor="background2" w:themeShade="80"/>
            <w:bottom w:val="single" w:sz="18" w:space="24" w:color="767171" w:themeColor="background2" w:themeShade="80"/>
            <w:right w:val="single" w:sz="18" w:space="24" w:color="767171" w:themeColor="background2" w:themeShade="80"/>
          </w:pgBorders>
          <w:cols w:num="2" w:space="720"/>
          <w:docGrid w:linePitch="360"/>
        </w:sectPr>
      </w:pPr>
    </w:p>
    <w:p w14:paraId="7E8F1F6F" w14:textId="1BC237E4" w:rsidR="00AD6CB4" w:rsidRPr="0089637F" w:rsidRDefault="00AD6CB4" w:rsidP="00220842">
      <w:pPr>
        <w:pBdr>
          <w:top w:val="triple" w:sz="4" w:space="5" w:color="5497D4"/>
          <w:left w:val="triple" w:sz="4" w:space="5" w:color="5497D4"/>
          <w:bottom w:val="triple" w:sz="4" w:space="5" w:color="5497D4"/>
          <w:right w:val="triple" w:sz="4" w:space="5" w:color="5497D4"/>
        </w:pBdr>
        <w:spacing w:before="100" w:beforeAutospacing="1" w:after="100" w:afterAutospacing="1" w:line="240" w:lineRule="auto"/>
        <w:jc w:val="both"/>
        <w:rPr>
          <w:rFonts w:cstheme="minorHAnsi"/>
          <w:sz w:val="25"/>
          <w:szCs w:val="25"/>
        </w:rPr>
      </w:pPr>
      <w:r w:rsidRPr="00AB68DE">
        <w:rPr>
          <w:rFonts w:eastAsia="Times New Roman" w:cstheme="minorHAnsi"/>
          <w:noProof/>
          <w:sz w:val="24"/>
          <w:szCs w:val="24"/>
        </w:rPr>
        <mc:AlternateContent>
          <mc:Choice Requires="wps">
            <w:drawing>
              <wp:anchor distT="0" distB="0" distL="114300" distR="114300" simplePos="0" relativeHeight="251668480" behindDoc="0" locked="0" layoutInCell="1" allowOverlap="1" wp14:anchorId="434F534C" wp14:editId="553B60ED">
                <wp:simplePos x="0" y="0"/>
                <wp:positionH relativeFrom="column">
                  <wp:posOffset>-219075</wp:posOffset>
                </wp:positionH>
                <wp:positionV relativeFrom="paragraph">
                  <wp:posOffset>877570</wp:posOffset>
                </wp:positionV>
                <wp:extent cx="1123950" cy="1581150"/>
                <wp:effectExtent l="0" t="0" r="19050" b="19050"/>
                <wp:wrapSquare wrapText="bothSides"/>
                <wp:docPr id="2" name="Text Box 2"/>
                <wp:cNvGraphicFramePr/>
                <a:graphic xmlns:a="http://schemas.openxmlformats.org/drawingml/2006/main">
                  <a:graphicData uri="http://schemas.microsoft.com/office/word/2010/wordprocessingShape">
                    <wps:wsp>
                      <wps:cNvSpPr txBox="1"/>
                      <wps:spPr>
                        <a:xfrm>
                          <a:off x="0" y="0"/>
                          <a:ext cx="1123950" cy="1581150"/>
                        </a:xfrm>
                        <a:prstGeom prst="rect">
                          <a:avLst/>
                        </a:prstGeom>
                        <a:solidFill>
                          <a:srgbClr val="5B9BD5"/>
                        </a:solidFill>
                        <a:ln w="12700" cap="flat" cmpd="sng" algn="ctr">
                          <a:solidFill>
                            <a:srgbClr val="5B9BD5">
                              <a:shade val="50000"/>
                            </a:srgbClr>
                          </a:solidFill>
                          <a:prstDash val="solid"/>
                          <a:miter lim="800000"/>
                        </a:ln>
                        <a:effectLst/>
                      </wps:spPr>
                      <wps:txbx>
                        <w:txbxContent>
                          <w:p w14:paraId="6F79A4F2" w14:textId="77777777" w:rsidR="00AD6CB4" w:rsidRPr="008D4B16" w:rsidRDefault="00AD6CB4" w:rsidP="00AD6CB4">
                            <w:pPr>
                              <w:shd w:val="clear" w:color="auto" w:fill="D9E2F3" w:themeFill="accent1" w:themeFillTint="33"/>
                              <w:spacing w:after="120"/>
                              <w:jc w:val="center"/>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8D4B16">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 xml:space="preserve">Did </w:t>
                            </w:r>
                          </w:p>
                          <w:p w14:paraId="28B9D56C" w14:textId="77777777" w:rsidR="00AD6CB4" w:rsidRPr="008D4B16" w:rsidRDefault="00AD6CB4" w:rsidP="00AD6CB4">
                            <w:pPr>
                              <w:shd w:val="clear" w:color="auto" w:fill="D9E2F3" w:themeFill="accent1" w:themeFillTint="33"/>
                              <w:spacing w:after="120"/>
                              <w:jc w:val="center"/>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8D4B16">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You Know?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434F534C" id="_x0000_t202" coordsize="21600,21600" o:spt="202" path="m,l,21600r21600,l21600,xe">
                <v:stroke joinstyle="miter"/>
                <v:path gradientshapeok="t" o:connecttype="rect"/>
              </v:shapetype>
              <v:shape id="Text Box 2" o:spid="_x0000_s1026" type="#_x0000_t202" style="position:absolute;left:0;text-align:left;margin-left:-17.25pt;margin-top:69.1pt;width:88.5pt;height:12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R/GwMAAGIGAAAOAAAAZHJzL2Uyb0RvYy54bWysVdtOGzEQfa/Uf7D8XpLNBZKIDQpEtJUQ&#10;oJKKZ8frzVry2q7tXOjX99i7uVGeqvKwGXvGZ25nhuubXa3IRjgvjc5pdtGlRGhuCqlXOf25uP8y&#10;osQHpgumjBY5fROe3kw/f7re2onomcqoQjgCEO0nW5vTKgQ76XQ8r0TN/IWxQkNZGlezgKNbdQrH&#10;tkCvVafX7V52tsYV1hkuvMftvFHSacIvS8HDU1l6EYjKKWIL6evSdxm/nek1m6wcs5XkbRjsH6Ko&#10;mdRweoCas8DI2sm/oGrJnfGmDBfc1B1TlpKLlAOyybrvsnmpmBUpFxTH20OZ/P+D5Y+bZ0dkkdMe&#10;JZrVaNFC7AK5NTvSi9XZWj+B0YuFWdjhGl3e33tcxqR3pavjL9Ih0KPOb4faRjAeH2W9/ngIFYcu&#10;G46yDAfgd47PrfPhqzA1iUJOHZqXaso2Dz40pnuT6M0bJYt7qVQ6uNXyTjmyYWj08HZ8Ox+26Gdm&#10;SpMt3PeuujESBsKVigWItUUJvF5RwtQKTObBJd9nr/0HTpLzihWidd3F395zY55yPMOJWcyZr5on&#10;SRWfsEktA6ZByTqnowi0R1I6akXic1uL2Jem/lEKu+WubdbSFG/olTMN173l9xL+HpgPz8yB3Mgc&#10;Axue8CmVQTlMK1FSGff7o/toD85BS8kWw4JS/VozJyhR3zXYOM4GA8CGdBgMr3o4uFPN8lSj1/Wd&#10;QZsyrAbLkxjtg9qLpTP1K+Z6Fr1CxTSH75yiUY14F5oRxl7gYjZLRpgny8KDfrE8QseCxTovdq/M&#10;2ZZSAWx8NPuxYpN3zGps40ttZutgShlpB6ZxoUW/iCLHiDjWwhkXKtMuj3tndGi6qOSqCj/kijiJ&#10;JdgQrJAxfpXCQmsIWJeixlZMv05scnp5edb0FqbhzzEEb/sFQSJuHZfuN0zucJDojADM2r2CO6Nx&#10;N3laio1Qi0j5/iiLNhWk7KqZPCTTvMDcNFli54rDEDEOl6GXcPyR4Hh8oGXa0vFFCvEUDVMdw8R9&#10;ZGdDyfaARZbM27rFTXl6TlbHfw3TPwAAAP//AwBQSwMEFAAGAAgAAAAhAMd4X1jhAAAACwEAAA8A&#10;AABkcnMvZG93bnJldi54bWxMj8FOg0AQhu8mvsNmTLy1i9AqRZYGTXrxYLQajbeFHQFlZwm7pfj2&#10;Tk96nPm//PNNvp1tLyYcfedIwdUyAoFUO9NRo+D1ZbdIQfigyejeESr4QQ/b4vws15lxR3rGaR8a&#10;wSXkM62gDWHIpPR1i1b7pRuQOPt0o9WBx7GRZtRHLre9jKPoWlrdEV9o9YD3Ldbf+4NV0DwM693T&#10;ZqrDV/nxdlf59035mCh1eTGXtyACzuEPhpM+q0PBTpU7kPGiV7BIVmtGOUjSGMSJWMW8qRQk6U0M&#10;ssjl/x+KXwAAAP//AwBQSwECLQAUAAYACAAAACEAtoM4kv4AAADhAQAAEwAAAAAAAAAAAAAAAAAA&#10;AAAAW0NvbnRlbnRfVHlwZXNdLnhtbFBLAQItABQABgAIAAAAIQA4/SH/1gAAAJQBAAALAAAAAAAA&#10;AAAAAAAAAC8BAABfcmVscy8ucmVsc1BLAQItABQABgAIAAAAIQCyGlR/GwMAAGIGAAAOAAAAAAAA&#10;AAAAAAAAAC4CAABkcnMvZTJvRG9jLnhtbFBLAQItABQABgAIAAAAIQDHeF9Y4QAAAAsBAAAPAAAA&#10;AAAAAAAAAAAAAHUFAABkcnMvZG93bnJldi54bWxQSwUGAAAAAAQABADzAAAAgwYAAAAA&#10;" fillcolor="#5b9bd5" strokecolor="#41719c" strokeweight="1pt">
                <v:textbox>
                  <w:txbxContent>
                    <w:p w14:paraId="6F79A4F2" w14:textId="77777777" w:rsidR="00AD6CB4" w:rsidRPr="008D4B16" w:rsidRDefault="00AD6CB4" w:rsidP="00AD6CB4">
                      <w:pPr>
                        <w:shd w:val="clear" w:color="auto" w:fill="D9E2F3" w:themeFill="accent1" w:themeFillTint="33"/>
                        <w:spacing w:after="120"/>
                        <w:jc w:val="center"/>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8D4B16">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 xml:space="preserve">Did </w:t>
                      </w:r>
                    </w:p>
                    <w:p w14:paraId="28B9D56C" w14:textId="77777777" w:rsidR="00AD6CB4" w:rsidRPr="008D4B16" w:rsidRDefault="00AD6CB4" w:rsidP="00AD6CB4">
                      <w:pPr>
                        <w:shd w:val="clear" w:color="auto" w:fill="D9E2F3" w:themeFill="accent1" w:themeFillTint="33"/>
                        <w:spacing w:after="120"/>
                        <w:jc w:val="center"/>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8D4B16">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You Know?</w:t>
                      </w:r>
                    </w:p>
                  </w:txbxContent>
                </v:textbox>
                <w10:wrap type="square"/>
              </v:shape>
            </w:pict>
          </mc:Fallback>
        </mc:AlternateContent>
      </w:r>
      <w:bookmarkStart w:id="1" w:name="_Hlk509320946"/>
      <w:r w:rsidRPr="00AB68DE">
        <w:rPr>
          <w:rFonts w:eastAsia="Times New Roman" w:cstheme="minorHAnsi"/>
          <w:noProof/>
          <w:sz w:val="24"/>
          <w:szCs w:val="24"/>
        </w:rPr>
        <w:t xml:space="preserve">Have you heard of </w:t>
      </w:r>
      <w:r w:rsidRPr="00AB68DE">
        <w:rPr>
          <w:rFonts w:eastAsia="Times New Roman" w:cstheme="minorHAnsi"/>
          <w:noProof/>
          <w:sz w:val="24"/>
          <w:szCs w:val="24"/>
          <w:u w:val="single"/>
        </w:rPr>
        <w:t>Flores</w:t>
      </w:r>
      <w:r w:rsidRPr="00AB68DE">
        <w:rPr>
          <w:rFonts w:eastAsia="Times New Roman" w:cstheme="minorHAnsi"/>
          <w:noProof/>
          <w:sz w:val="24"/>
          <w:szCs w:val="24"/>
        </w:rPr>
        <w:t xml:space="preserve">?  In </w:t>
      </w:r>
      <w:r w:rsidRPr="00AB68DE">
        <w:rPr>
          <w:rFonts w:eastAsia="Times New Roman" w:cstheme="minorHAnsi"/>
          <w:noProof/>
          <w:sz w:val="24"/>
          <w:szCs w:val="24"/>
          <w:u w:val="single"/>
        </w:rPr>
        <w:t>Flores v. City of San Gabriel</w:t>
      </w:r>
      <w:r w:rsidRPr="00AB68DE">
        <w:rPr>
          <w:rFonts w:eastAsia="Times New Roman" w:cstheme="minorHAnsi"/>
          <w:noProof/>
          <w:sz w:val="24"/>
          <w:szCs w:val="24"/>
        </w:rPr>
        <w:t xml:space="preserve">, </w:t>
      </w:r>
      <w:r w:rsidR="0094370D" w:rsidRPr="00AB68DE">
        <w:rPr>
          <w:rFonts w:eastAsia="Times New Roman" w:cstheme="minorHAnsi"/>
          <w:noProof/>
          <w:sz w:val="24"/>
          <w:szCs w:val="24"/>
        </w:rPr>
        <w:t>p</w:t>
      </w:r>
      <w:r w:rsidRPr="00AB68DE">
        <w:rPr>
          <w:rFonts w:eastAsia="Times New Roman" w:cstheme="minorHAnsi"/>
          <w:noProof/>
          <w:sz w:val="24"/>
          <w:szCs w:val="24"/>
        </w:rPr>
        <w:t xml:space="preserve">olice </w:t>
      </w:r>
      <w:r w:rsidR="0094370D" w:rsidRPr="00AB68DE">
        <w:rPr>
          <w:rFonts w:eastAsia="Times New Roman" w:cstheme="minorHAnsi"/>
          <w:noProof/>
          <w:sz w:val="24"/>
          <w:szCs w:val="24"/>
        </w:rPr>
        <w:t>o</w:t>
      </w:r>
      <w:r w:rsidRPr="00AB68DE">
        <w:rPr>
          <w:rFonts w:eastAsia="Times New Roman" w:cstheme="minorHAnsi"/>
          <w:noProof/>
          <w:sz w:val="24"/>
          <w:szCs w:val="24"/>
        </w:rPr>
        <w:t xml:space="preserve">fficers sued the City claiming that cash payments, which the officers received in their paychecks through the City’s health insurance program, must be included as part of their base pay for purposes of calculating overtime payments.  The federal Ninth Circuit Court of Appeal (which </w:t>
      </w:r>
      <w:r w:rsidR="0094370D" w:rsidRPr="00AB68DE">
        <w:rPr>
          <w:rFonts w:eastAsia="Times New Roman" w:cstheme="minorHAnsi"/>
          <w:noProof/>
          <w:sz w:val="24"/>
          <w:szCs w:val="24"/>
        </w:rPr>
        <w:t>hears</w:t>
      </w:r>
      <w:r w:rsidRPr="00AB68DE">
        <w:rPr>
          <w:rFonts w:eastAsia="Times New Roman" w:cstheme="minorHAnsi"/>
          <w:noProof/>
          <w:sz w:val="24"/>
          <w:szCs w:val="24"/>
        </w:rPr>
        <w:t xml:space="preserve"> federal cases filed in California) agreed, in a decision </w:t>
      </w:r>
      <w:r w:rsidR="00EB1D1F" w:rsidRPr="00AB68DE">
        <w:rPr>
          <w:rFonts w:eastAsia="Times New Roman" w:cstheme="minorHAnsi"/>
          <w:noProof/>
          <w:sz w:val="24"/>
          <w:szCs w:val="24"/>
        </w:rPr>
        <w:t xml:space="preserve">on </w:t>
      </w:r>
      <w:r w:rsidRPr="00AB68DE">
        <w:rPr>
          <w:rFonts w:eastAsia="Times New Roman" w:cstheme="minorHAnsi"/>
          <w:noProof/>
          <w:sz w:val="24"/>
          <w:szCs w:val="24"/>
        </w:rPr>
        <w:t>June 2</w:t>
      </w:r>
      <w:r w:rsidRPr="00AB68DE">
        <w:rPr>
          <w:rFonts w:eastAsia="Times New Roman" w:cstheme="minorHAnsi"/>
          <w:noProof/>
          <w:sz w:val="24"/>
          <w:szCs w:val="24"/>
          <w:vertAlign w:val="superscript"/>
        </w:rPr>
        <w:t>nd</w:t>
      </w:r>
      <w:r w:rsidRPr="00AB68DE">
        <w:rPr>
          <w:rFonts w:eastAsia="Times New Roman" w:cstheme="minorHAnsi"/>
          <w:noProof/>
          <w:sz w:val="24"/>
          <w:szCs w:val="24"/>
        </w:rPr>
        <w:t xml:space="preserve"> 2016.  The U.S. Supreme Court refused to hear an appeal, and the case is now </w:t>
      </w:r>
      <w:r w:rsidR="00260E94" w:rsidRPr="00AB68DE">
        <w:rPr>
          <w:rFonts w:eastAsia="Times New Roman" w:cstheme="minorHAnsi"/>
          <w:noProof/>
          <w:sz w:val="24"/>
          <w:szCs w:val="24"/>
        </w:rPr>
        <w:t xml:space="preserve">an </w:t>
      </w:r>
      <w:r w:rsidRPr="00AB68DE">
        <w:rPr>
          <w:rFonts w:eastAsia="Times New Roman" w:cstheme="minorHAnsi"/>
          <w:noProof/>
          <w:sz w:val="24"/>
          <w:szCs w:val="24"/>
        </w:rPr>
        <w:t xml:space="preserve">established precedent.  Since </w:t>
      </w:r>
      <w:r w:rsidRPr="00AB68DE">
        <w:rPr>
          <w:rFonts w:eastAsia="Times New Roman" w:cstheme="minorHAnsi"/>
          <w:noProof/>
          <w:sz w:val="24"/>
          <w:szCs w:val="24"/>
          <w:u w:val="single"/>
        </w:rPr>
        <w:t>Flores</w:t>
      </w:r>
      <w:r w:rsidRPr="00AB68DE">
        <w:rPr>
          <w:rFonts w:eastAsia="Times New Roman" w:cstheme="minorHAnsi"/>
          <w:noProof/>
          <w:sz w:val="24"/>
          <w:szCs w:val="24"/>
        </w:rPr>
        <w:t xml:space="preserve">, many employees have wondered whether their Agency owes them back overtime payments. </w:t>
      </w:r>
      <w:bookmarkStart w:id="2" w:name="_Hlk517091099"/>
      <w:r w:rsidR="00AB68DE">
        <w:rPr>
          <w:rFonts w:eastAsia="Times New Roman" w:cstheme="minorHAnsi"/>
          <w:noProof/>
          <w:sz w:val="24"/>
          <w:szCs w:val="24"/>
        </w:rPr>
        <w:t xml:space="preserve"> </w:t>
      </w:r>
      <w:r w:rsidRPr="00AB68DE">
        <w:rPr>
          <w:rFonts w:eastAsia="Times New Roman" w:cstheme="minorHAnsi"/>
          <w:noProof/>
          <w:sz w:val="24"/>
          <w:szCs w:val="24"/>
        </w:rPr>
        <w:t>The short answer is, quite possibly, yes!  In the last 2-3 years, if you received cash for any unused portion of the health insurance or benefits allowances, and you were paid overtime in the same pay period, you are entitled to receive overtime based on the higher amount.  If this sounds like your situation, you should carefully look at your pay stubs and determine whether the overtime you were paid included the cash payment as part of the calcu</w:t>
      </w:r>
      <w:r w:rsidR="00260E94" w:rsidRPr="00AB68DE">
        <w:rPr>
          <w:rFonts w:eastAsia="Times New Roman" w:cstheme="minorHAnsi"/>
          <w:noProof/>
          <w:sz w:val="24"/>
          <w:szCs w:val="24"/>
        </w:rPr>
        <w:t>l</w:t>
      </w:r>
      <w:r w:rsidRPr="00AB68DE">
        <w:rPr>
          <w:rFonts w:eastAsia="Times New Roman" w:cstheme="minorHAnsi"/>
          <w:noProof/>
          <w:sz w:val="24"/>
          <w:szCs w:val="24"/>
        </w:rPr>
        <w:t>ation.  Do this for each pay period in question and compile a spreadsheet or notebook detailing what is still owed, if any</w:t>
      </w:r>
      <w:r w:rsidR="00EB1D1F" w:rsidRPr="00AB68DE">
        <w:rPr>
          <w:rFonts w:eastAsia="Times New Roman" w:cstheme="minorHAnsi"/>
          <w:noProof/>
          <w:sz w:val="24"/>
          <w:szCs w:val="24"/>
        </w:rPr>
        <w:t>thing</w:t>
      </w:r>
      <w:r w:rsidRPr="00AB68DE">
        <w:rPr>
          <w:rFonts w:eastAsia="Times New Roman" w:cstheme="minorHAnsi"/>
          <w:noProof/>
          <w:sz w:val="24"/>
          <w:szCs w:val="24"/>
        </w:rPr>
        <w:t xml:space="preserve">.  Once completed, present it to your Agency for payment.  If your Agency disputes </w:t>
      </w:r>
      <w:r w:rsidR="00260E94" w:rsidRPr="00AB68DE">
        <w:rPr>
          <w:rFonts w:eastAsia="Times New Roman" w:cstheme="minorHAnsi"/>
          <w:noProof/>
          <w:sz w:val="24"/>
          <w:szCs w:val="24"/>
        </w:rPr>
        <w:t>your claim</w:t>
      </w:r>
      <w:r w:rsidRPr="00AB68DE">
        <w:rPr>
          <w:rFonts w:eastAsia="Times New Roman" w:cstheme="minorHAnsi"/>
          <w:noProof/>
          <w:sz w:val="24"/>
          <w:szCs w:val="24"/>
        </w:rPr>
        <w:t xml:space="preserve">, but you feel your records are correct, you can file a formal complaint with the federal government. </w:t>
      </w:r>
      <w:r w:rsidR="00AB68DE">
        <w:rPr>
          <w:rFonts w:eastAsia="Times New Roman" w:cstheme="minorHAnsi"/>
          <w:noProof/>
          <w:sz w:val="24"/>
          <w:szCs w:val="24"/>
        </w:rPr>
        <w:t xml:space="preserve"> </w:t>
      </w:r>
      <w:r w:rsidRPr="00AB68DE">
        <w:rPr>
          <w:rFonts w:eastAsia="Times New Roman" w:cstheme="minorHAnsi"/>
          <w:noProof/>
          <w:sz w:val="24"/>
          <w:szCs w:val="24"/>
        </w:rPr>
        <w:t xml:space="preserve">The United States Department of Labor (“DOL”), Wage and Hour Division (“WHD”), is a federal agency that investigates claims for unpaid wages and overtime pay under the Fair Labor Standards Act (“FLSA”).  There are no costs for a worker to file a complaint or for the WHD to conduct an investigation.  </w:t>
      </w:r>
      <w:bookmarkEnd w:id="1"/>
      <w:r w:rsidR="00886FDD" w:rsidRPr="00AB68DE">
        <w:rPr>
          <w:rFonts w:eastAsia="Times New Roman" w:cstheme="minorHAnsi"/>
          <w:noProof/>
          <w:sz w:val="24"/>
          <w:szCs w:val="24"/>
        </w:rPr>
        <w:t xml:space="preserve">The FLSA contains a two-year statute of limitations (three-years for willful violations).  </w:t>
      </w:r>
      <w:r w:rsidRPr="00AB68DE">
        <w:rPr>
          <w:rFonts w:eastAsia="Times New Roman" w:cstheme="minorHAnsi"/>
          <w:noProof/>
          <w:sz w:val="24"/>
          <w:szCs w:val="24"/>
        </w:rPr>
        <w:t>Check out the Department’s Frequently Asked Questions on How to File a Complaint at</w:t>
      </w:r>
      <w:bookmarkEnd w:id="2"/>
      <w:r w:rsidRPr="00AB68DE">
        <w:rPr>
          <w:rFonts w:eastAsia="Times New Roman" w:cstheme="minorHAnsi"/>
          <w:noProof/>
          <w:sz w:val="24"/>
          <w:szCs w:val="24"/>
        </w:rPr>
        <w:t xml:space="preserve"> </w:t>
      </w:r>
      <w:hyperlink r:id="rId11" w:history="1">
        <w:r w:rsidRPr="00AB68DE">
          <w:rPr>
            <w:rStyle w:val="Hyperlink"/>
            <w:rFonts w:eastAsia="Times New Roman" w:cstheme="minorHAnsi"/>
            <w:noProof/>
            <w:sz w:val="24"/>
            <w:szCs w:val="24"/>
          </w:rPr>
          <w:t>https://www.dol.gov/whd/faq_workers.htm</w:t>
        </w:r>
      </w:hyperlink>
      <w:r w:rsidRPr="00B33F15">
        <w:rPr>
          <w:rFonts w:eastAsia="Times New Roman" w:cstheme="minorHAnsi"/>
          <w:noProof/>
          <w:sz w:val="26"/>
          <w:szCs w:val="26"/>
        </w:rPr>
        <w:t xml:space="preserve"> </w:t>
      </w:r>
    </w:p>
    <w:sectPr w:rsidR="00AD6CB4" w:rsidRPr="0089637F" w:rsidSect="00AD6CB4">
      <w:type w:val="continuous"/>
      <w:pgSz w:w="12240" w:h="15840"/>
      <w:pgMar w:top="1440" w:right="1440" w:bottom="1440" w:left="1440" w:header="720" w:footer="720" w:gutter="0"/>
      <w:pgBorders w:offsetFrom="page">
        <w:top w:val="single" w:sz="18" w:space="24" w:color="767171" w:themeColor="background2" w:themeShade="80"/>
        <w:left w:val="single" w:sz="18" w:space="24" w:color="767171" w:themeColor="background2" w:themeShade="80"/>
        <w:bottom w:val="single" w:sz="18" w:space="24" w:color="767171" w:themeColor="background2" w:themeShade="80"/>
        <w:right w:val="single" w:sz="18" w:space="24" w:color="767171" w:themeColor="background2"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D650C" w14:textId="77777777" w:rsidR="00B74AE0" w:rsidRDefault="00B74AE0">
      <w:pPr>
        <w:spacing w:after="0" w:line="240" w:lineRule="auto"/>
      </w:pPr>
      <w:r>
        <w:separator/>
      </w:r>
    </w:p>
  </w:endnote>
  <w:endnote w:type="continuationSeparator" w:id="0">
    <w:p w14:paraId="5CF58A79" w14:textId="77777777" w:rsidR="00B74AE0" w:rsidRDefault="00B74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2276176"/>
      <w:docPartObj>
        <w:docPartGallery w:val="Page Numbers (Bottom of Page)"/>
        <w:docPartUnique/>
      </w:docPartObj>
    </w:sdtPr>
    <w:sdtEndPr>
      <w:rPr>
        <w:noProof/>
      </w:rPr>
    </w:sdtEndPr>
    <w:sdtContent>
      <w:p w14:paraId="5F161329" w14:textId="77777777" w:rsidR="0060570E" w:rsidRDefault="00F3660E">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6CEA00A1" w14:textId="77777777" w:rsidR="0060570E" w:rsidRDefault="00B36D7D">
    <w:pPr>
      <w:pStyle w:val="Footer"/>
    </w:pPr>
  </w:p>
  <w:p w14:paraId="6827208A" w14:textId="77777777" w:rsidR="00912773" w:rsidRDefault="00B36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175CD" w14:textId="77777777" w:rsidR="00B74AE0" w:rsidRDefault="00B74AE0">
      <w:pPr>
        <w:spacing w:after="0" w:line="240" w:lineRule="auto"/>
      </w:pPr>
      <w:r>
        <w:separator/>
      </w:r>
    </w:p>
  </w:footnote>
  <w:footnote w:type="continuationSeparator" w:id="0">
    <w:p w14:paraId="1F97047B" w14:textId="77777777" w:rsidR="00B74AE0" w:rsidRDefault="00B74A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3245"/>
    <w:multiLevelType w:val="hybridMultilevel"/>
    <w:tmpl w:val="9354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6424C"/>
    <w:multiLevelType w:val="hybridMultilevel"/>
    <w:tmpl w:val="299A797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704E9D"/>
    <w:multiLevelType w:val="hybridMultilevel"/>
    <w:tmpl w:val="2DE0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17E72"/>
    <w:multiLevelType w:val="hybridMultilevel"/>
    <w:tmpl w:val="D8C238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D81D24"/>
    <w:multiLevelType w:val="hybridMultilevel"/>
    <w:tmpl w:val="4A202C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6352096E"/>
    <w:multiLevelType w:val="hybridMultilevel"/>
    <w:tmpl w:val="F244C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97"/>
    <w:rsid w:val="00001546"/>
    <w:rsid w:val="0000725B"/>
    <w:rsid w:val="0001263F"/>
    <w:rsid w:val="00022E8E"/>
    <w:rsid w:val="00024A59"/>
    <w:rsid w:val="00025AE8"/>
    <w:rsid w:val="00027DEF"/>
    <w:rsid w:val="00032275"/>
    <w:rsid w:val="00034C18"/>
    <w:rsid w:val="00083E69"/>
    <w:rsid w:val="00091A8E"/>
    <w:rsid w:val="000932AF"/>
    <w:rsid w:val="000A1D44"/>
    <w:rsid w:val="000C25A0"/>
    <w:rsid w:val="000E6694"/>
    <w:rsid w:val="00101CCB"/>
    <w:rsid w:val="00124E94"/>
    <w:rsid w:val="00137BF3"/>
    <w:rsid w:val="00183C8C"/>
    <w:rsid w:val="00185011"/>
    <w:rsid w:val="00186408"/>
    <w:rsid w:val="00187350"/>
    <w:rsid w:val="001949DA"/>
    <w:rsid w:val="001D1896"/>
    <w:rsid w:val="001D399C"/>
    <w:rsid w:val="001F62F7"/>
    <w:rsid w:val="0020141E"/>
    <w:rsid w:val="002078AD"/>
    <w:rsid w:val="00220842"/>
    <w:rsid w:val="00227E1D"/>
    <w:rsid w:val="00260E94"/>
    <w:rsid w:val="00266196"/>
    <w:rsid w:val="00285BE8"/>
    <w:rsid w:val="002976FC"/>
    <w:rsid w:val="002B0322"/>
    <w:rsid w:val="002D14CA"/>
    <w:rsid w:val="002D241D"/>
    <w:rsid w:val="002D53DF"/>
    <w:rsid w:val="002E30F9"/>
    <w:rsid w:val="003131B8"/>
    <w:rsid w:val="00317846"/>
    <w:rsid w:val="00317DED"/>
    <w:rsid w:val="00331B7A"/>
    <w:rsid w:val="00331F57"/>
    <w:rsid w:val="00346371"/>
    <w:rsid w:val="003530A5"/>
    <w:rsid w:val="003668FC"/>
    <w:rsid w:val="003A1AF1"/>
    <w:rsid w:val="003B1FD1"/>
    <w:rsid w:val="003B34FB"/>
    <w:rsid w:val="003B6E92"/>
    <w:rsid w:val="003D1933"/>
    <w:rsid w:val="003E56F0"/>
    <w:rsid w:val="003F4001"/>
    <w:rsid w:val="00402FE5"/>
    <w:rsid w:val="00410BE7"/>
    <w:rsid w:val="0043301A"/>
    <w:rsid w:val="00436A7B"/>
    <w:rsid w:val="00462F0E"/>
    <w:rsid w:val="00464C80"/>
    <w:rsid w:val="00466F54"/>
    <w:rsid w:val="00475891"/>
    <w:rsid w:val="00485879"/>
    <w:rsid w:val="00490A42"/>
    <w:rsid w:val="00496DA6"/>
    <w:rsid w:val="004A0FDA"/>
    <w:rsid w:val="004A2569"/>
    <w:rsid w:val="004A7D45"/>
    <w:rsid w:val="004B5BFF"/>
    <w:rsid w:val="004C6CCC"/>
    <w:rsid w:val="004D04B0"/>
    <w:rsid w:val="004D4825"/>
    <w:rsid w:val="004D6895"/>
    <w:rsid w:val="004E4078"/>
    <w:rsid w:val="005004EA"/>
    <w:rsid w:val="00507B73"/>
    <w:rsid w:val="00514D9D"/>
    <w:rsid w:val="0053191F"/>
    <w:rsid w:val="005350DD"/>
    <w:rsid w:val="00564159"/>
    <w:rsid w:val="00587D92"/>
    <w:rsid w:val="005A095F"/>
    <w:rsid w:val="005B3FE9"/>
    <w:rsid w:val="005C2E4B"/>
    <w:rsid w:val="005C5956"/>
    <w:rsid w:val="005E2CF1"/>
    <w:rsid w:val="005E5EBC"/>
    <w:rsid w:val="00601AF1"/>
    <w:rsid w:val="00604B65"/>
    <w:rsid w:val="006065C6"/>
    <w:rsid w:val="00613BA6"/>
    <w:rsid w:val="00613F4F"/>
    <w:rsid w:val="00621E71"/>
    <w:rsid w:val="00636323"/>
    <w:rsid w:val="00641301"/>
    <w:rsid w:val="006508BD"/>
    <w:rsid w:val="00663BC0"/>
    <w:rsid w:val="00670ACB"/>
    <w:rsid w:val="006850F1"/>
    <w:rsid w:val="006C038B"/>
    <w:rsid w:val="006F78E7"/>
    <w:rsid w:val="00701497"/>
    <w:rsid w:val="007059C7"/>
    <w:rsid w:val="007065CA"/>
    <w:rsid w:val="00716EDD"/>
    <w:rsid w:val="00717A48"/>
    <w:rsid w:val="0072215E"/>
    <w:rsid w:val="00723BFD"/>
    <w:rsid w:val="00730F93"/>
    <w:rsid w:val="00734742"/>
    <w:rsid w:val="00735FE1"/>
    <w:rsid w:val="00754E35"/>
    <w:rsid w:val="0076073D"/>
    <w:rsid w:val="00783EF2"/>
    <w:rsid w:val="00787C23"/>
    <w:rsid w:val="007905CE"/>
    <w:rsid w:val="007A1EA1"/>
    <w:rsid w:val="007A2809"/>
    <w:rsid w:val="007B2CD9"/>
    <w:rsid w:val="007D6A68"/>
    <w:rsid w:val="007E045D"/>
    <w:rsid w:val="007E14BF"/>
    <w:rsid w:val="007F6B13"/>
    <w:rsid w:val="00817B0A"/>
    <w:rsid w:val="008243C6"/>
    <w:rsid w:val="0084017A"/>
    <w:rsid w:val="00853548"/>
    <w:rsid w:val="0086094A"/>
    <w:rsid w:val="00863EEB"/>
    <w:rsid w:val="0087207A"/>
    <w:rsid w:val="00886FDD"/>
    <w:rsid w:val="0089637F"/>
    <w:rsid w:val="008A4667"/>
    <w:rsid w:val="008A7CD8"/>
    <w:rsid w:val="008B3420"/>
    <w:rsid w:val="008D20DB"/>
    <w:rsid w:val="008D5865"/>
    <w:rsid w:val="008E29FD"/>
    <w:rsid w:val="008F63D2"/>
    <w:rsid w:val="0091253B"/>
    <w:rsid w:val="00912D7C"/>
    <w:rsid w:val="00920B5B"/>
    <w:rsid w:val="009220E4"/>
    <w:rsid w:val="00922A96"/>
    <w:rsid w:val="009250D0"/>
    <w:rsid w:val="0094034F"/>
    <w:rsid w:val="0094370D"/>
    <w:rsid w:val="00955A96"/>
    <w:rsid w:val="009611B4"/>
    <w:rsid w:val="009708E3"/>
    <w:rsid w:val="00975190"/>
    <w:rsid w:val="00976A78"/>
    <w:rsid w:val="009922AE"/>
    <w:rsid w:val="00996E7A"/>
    <w:rsid w:val="00997C94"/>
    <w:rsid w:val="009A4114"/>
    <w:rsid w:val="009D0B39"/>
    <w:rsid w:val="009E00B5"/>
    <w:rsid w:val="009E6B70"/>
    <w:rsid w:val="009F55CE"/>
    <w:rsid w:val="00A13513"/>
    <w:rsid w:val="00A14CDD"/>
    <w:rsid w:val="00A1695C"/>
    <w:rsid w:val="00A17502"/>
    <w:rsid w:val="00A25BE6"/>
    <w:rsid w:val="00A31620"/>
    <w:rsid w:val="00A55405"/>
    <w:rsid w:val="00AB2EDC"/>
    <w:rsid w:val="00AB4307"/>
    <w:rsid w:val="00AB68DE"/>
    <w:rsid w:val="00AD0E7C"/>
    <w:rsid w:val="00AD6CB4"/>
    <w:rsid w:val="00B0287B"/>
    <w:rsid w:val="00B12732"/>
    <w:rsid w:val="00B33F15"/>
    <w:rsid w:val="00B36D7D"/>
    <w:rsid w:val="00B5400A"/>
    <w:rsid w:val="00B62328"/>
    <w:rsid w:val="00B74AE0"/>
    <w:rsid w:val="00B74FAB"/>
    <w:rsid w:val="00B82668"/>
    <w:rsid w:val="00B8490B"/>
    <w:rsid w:val="00B975D3"/>
    <w:rsid w:val="00BA2121"/>
    <w:rsid w:val="00BA7836"/>
    <w:rsid w:val="00BB046E"/>
    <w:rsid w:val="00BB1007"/>
    <w:rsid w:val="00BC1300"/>
    <w:rsid w:val="00BE06A4"/>
    <w:rsid w:val="00BE0B08"/>
    <w:rsid w:val="00BE7153"/>
    <w:rsid w:val="00C36E20"/>
    <w:rsid w:val="00C863CB"/>
    <w:rsid w:val="00CB0D5F"/>
    <w:rsid w:val="00CB3809"/>
    <w:rsid w:val="00CD189E"/>
    <w:rsid w:val="00CD4CE1"/>
    <w:rsid w:val="00CE7F25"/>
    <w:rsid w:val="00CF3E04"/>
    <w:rsid w:val="00CF7378"/>
    <w:rsid w:val="00D10165"/>
    <w:rsid w:val="00D11C09"/>
    <w:rsid w:val="00D14B1C"/>
    <w:rsid w:val="00D1648C"/>
    <w:rsid w:val="00D24D98"/>
    <w:rsid w:val="00D343E2"/>
    <w:rsid w:val="00D41377"/>
    <w:rsid w:val="00D51FEA"/>
    <w:rsid w:val="00D5200A"/>
    <w:rsid w:val="00D64CFB"/>
    <w:rsid w:val="00D72524"/>
    <w:rsid w:val="00D768C0"/>
    <w:rsid w:val="00D837EA"/>
    <w:rsid w:val="00D902CC"/>
    <w:rsid w:val="00DB32B4"/>
    <w:rsid w:val="00DB6EB0"/>
    <w:rsid w:val="00DD6C73"/>
    <w:rsid w:val="00DF0547"/>
    <w:rsid w:val="00DF6ED0"/>
    <w:rsid w:val="00E12108"/>
    <w:rsid w:val="00E1335B"/>
    <w:rsid w:val="00E323E9"/>
    <w:rsid w:val="00E401CC"/>
    <w:rsid w:val="00E443AB"/>
    <w:rsid w:val="00E44A45"/>
    <w:rsid w:val="00E5301B"/>
    <w:rsid w:val="00E62466"/>
    <w:rsid w:val="00E8698A"/>
    <w:rsid w:val="00EA117E"/>
    <w:rsid w:val="00EA3FB1"/>
    <w:rsid w:val="00EB1D1F"/>
    <w:rsid w:val="00EC3AE8"/>
    <w:rsid w:val="00EC3FF8"/>
    <w:rsid w:val="00EC50A1"/>
    <w:rsid w:val="00F06440"/>
    <w:rsid w:val="00F17DEC"/>
    <w:rsid w:val="00F21560"/>
    <w:rsid w:val="00F228F0"/>
    <w:rsid w:val="00F3660E"/>
    <w:rsid w:val="00F439F8"/>
    <w:rsid w:val="00F43FE8"/>
    <w:rsid w:val="00F52F76"/>
    <w:rsid w:val="00F71BFF"/>
    <w:rsid w:val="00F8656F"/>
    <w:rsid w:val="00F91A50"/>
    <w:rsid w:val="00F964EA"/>
    <w:rsid w:val="00FA3C7F"/>
    <w:rsid w:val="00FD280F"/>
    <w:rsid w:val="00FD31D7"/>
    <w:rsid w:val="00FF2EEA"/>
    <w:rsid w:val="00FF47DC"/>
    <w:rsid w:val="00FF7969"/>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B506A"/>
  <w15:chartTrackingRefBased/>
  <w15:docId w15:val="{24DB71DF-F905-4A24-B507-73C99EAD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149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1497"/>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1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497"/>
  </w:style>
  <w:style w:type="paragraph" w:styleId="NoSpacing">
    <w:name w:val="No Spacing"/>
    <w:basedOn w:val="Normal"/>
    <w:uiPriority w:val="1"/>
    <w:qFormat/>
    <w:rsid w:val="00701497"/>
    <w:pPr>
      <w:spacing w:after="0" w:line="240" w:lineRule="auto"/>
    </w:pPr>
    <w:rPr>
      <w:rFonts w:ascii="Calibri" w:hAnsi="Calibri" w:cs="Times New Roman"/>
      <w:sz w:val="24"/>
      <w:szCs w:val="24"/>
    </w:rPr>
  </w:style>
  <w:style w:type="character" w:styleId="Hyperlink">
    <w:name w:val="Hyperlink"/>
    <w:basedOn w:val="DefaultParagraphFont"/>
    <w:uiPriority w:val="99"/>
    <w:unhideWhenUsed/>
    <w:rsid w:val="00701497"/>
    <w:rPr>
      <w:color w:val="0563C1" w:themeColor="hyperlink"/>
      <w:u w:val="single"/>
    </w:rPr>
  </w:style>
  <w:style w:type="character" w:styleId="Strong">
    <w:name w:val="Strong"/>
    <w:uiPriority w:val="22"/>
    <w:qFormat/>
    <w:rsid w:val="00701497"/>
    <w:rPr>
      <w:b/>
      <w:bCs/>
    </w:rPr>
  </w:style>
  <w:style w:type="paragraph" w:styleId="ListParagraph">
    <w:name w:val="List Paragraph"/>
    <w:basedOn w:val="Normal"/>
    <w:uiPriority w:val="34"/>
    <w:qFormat/>
    <w:rsid w:val="00E323E9"/>
    <w:pPr>
      <w:ind w:left="720"/>
      <w:contextualSpacing/>
    </w:pPr>
  </w:style>
  <w:style w:type="character" w:styleId="UnresolvedMention">
    <w:name w:val="Unresolved Mention"/>
    <w:basedOn w:val="DefaultParagraphFont"/>
    <w:uiPriority w:val="99"/>
    <w:semiHidden/>
    <w:unhideWhenUsed/>
    <w:rsid w:val="007E0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58170">
      <w:bodyDiv w:val="1"/>
      <w:marLeft w:val="0"/>
      <w:marRight w:val="0"/>
      <w:marTop w:val="0"/>
      <w:marBottom w:val="0"/>
      <w:divBdr>
        <w:top w:val="none" w:sz="0" w:space="0" w:color="auto"/>
        <w:left w:val="none" w:sz="0" w:space="0" w:color="auto"/>
        <w:bottom w:val="none" w:sz="0" w:space="0" w:color="auto"/>
        <w:right w:val="none" w:sz="0" w:space="0" w:color="auto"/>
      </w:divBdr>
    </w:div>
    <w:div w:id="98960418">
      <w:bodyDiv w:val="1"/>
      <w:marLeft w:val="0"/>
      <w:marRight w:val="0"/>
      <w:marTop w:val="0"/>
      <w:marBottom w:val="0"/>
      <w:divBdr>
        <w:top w:val="none" w:sz="0" w:space="0" w:color="auto"/>
        <w:left w:val="none" w:sz="0" w:space="0" w:color="auto"/>
        <w:bottom w:val="none" w:sz="0" w:space="0" w:color="auto"/>
        <w:right w:val="none" w:sz="0" w:space="0" w:color="auto"/>
      </w:divBdr>
    </w:div>
    <w:div w:id="145900213">
      <w:bodyDiv w:val="1"/>
      <w:marLeft w:val="0"/>
      <w:marRight w:val="0"/>
      <w:marTop w:val="0"/>
      <w:marBottom w:val="0"/>
      <w:divBdr>
        <w:top w:val="none" w:sz="0" w:space="0" w:color="auto"/>
        <w:left w:val="none" w:sz="0" w:space="0" w:color="auto"/>
        <w:bottom w:val="none" w:sz="0" w:space="0" w:color="auto"/>
        <w:right w:val="none" w:sz="0" w:space="0" w:color="auto"/>
      </w:divBdr>
    </w:div>
    <w:div w:id="173762202">
      <w:bodyDiv w:val="1"/>
      <w:marLeft w:val="0"/>
      <w:marRight w:val="0"/>
      <w:marTop w:val="0"/>
      <w:marBottom w:val="0"/>
      <w:divBdr>
        <w:top w:val="none" w:sz="0" w:space="0" w:color="auto"/>
        <w:left w:val="none" w:sz="0" w:space="0" w:color="auto"/>
        <w:bottom w:val="none" w:sz="0" w:space="0" w:color="auto"/>
        <w:right w:val="none" w:sz="0" w:space="0" w:color="auto"/>
      </w:divBdr>
    </w:div>
    <w:div w:id="177698546">
      <w:bodyDiv w:val="1"/>
      <w:marLeft w:val="0"/>
      <w:marRight w:val="0"/>
      <w:marTop w:val="0"/>
      <w:marBottom w:val="0"/>
      <w:divBdr>
        <w:top w:val="none" w:sz="0" w:space="0" w:color="auto"/>
        <w:left w:val="none" w:sz="0" w:space="0" w:color="auto"/>
        <w:bottom w:val="none" w:sz="0" w:space="0" w:color="auto"/>
        <w:right w:val="none" w:sz="0" w:space="0" w:color="auto"/>
      </w:divBdr>
    </w:div>
    <w:div w:id="227956778">
      <w:bodyDiv w:val="1"/>
      <w:marLeft w:val="0"/>
      <w:marRight w:val="0"/>
      <w:marTop w:val="0"/>
      <w:marBottom w:val="0"/>
      <w:divBdr>
        <w:top w:val="none" w:sz="0" w:space="0" w:color="auto"/>
        <w:left w:val="none" w:sz="0" w:space="0" w:color="auto"/>
        <w:bottom w:val="none" w:sz="0" w:space="0" w:color="auto"/>
        <w:right w:val="none" w:sz="0" w:space="0" w:color="auto"/>
      </w:divBdr>
    </w:div>
    <w:div w:id="358354840">
      <w:bodyDiv w:val="1"/>
      <w:marLeft w:val="0"/>
      <w:marRight w:val="0"/>
      <w:marTop w:val="0"/>
      <w:marBottom w:val="0"/>
      <w:divBdr>
        <w:top w:val="none" w:sz="0" w:space="0" w:color="auto"/>
        <w:left w:val="none" w:sz="0" w:space="0" w:color="auto"/>
        <w:bottom w:val="none" w:sz="0" w:space="0" w:color="auto"/>
        <w:right w:val="none" w:sz="0" w:space="0" w:color="auto"/>
      </w:divBdr>
    </w:div>
    <w:div w:id="372733876">
      <w:bodyDiv w:val="1"/>
      <w:marLeft w:val="0"/>
      <w:marRight w:val="0"/>
      <w:marTop w:val="0"/>
      <w:marBottom w:val="0"/>
      <w:divBdr>
        <w:top w:val="none" w:sz="0" w:space="0" w:color="auto"/>
        <w:left w:val="none" w:sz="0" w:space="0" w:color="auto"/>
        <w:bottom w:val="none" w:sz="0" w:space="0" w:color="auto"/>
        <w:right w:val="none" w:sz="0" w:space="0" w:color="auto"/>
      </w:divBdr>
    </w:div>
    <w:div w:id="408305401">
      <w:bodyDiv w:val="1"/>
      <w:marLeft w:val="0"/>
      <w:marRight w:val="0"/>
      <w:marTop w:val="0"/>
      <w:marBottom w:val="0"/>
      <w:divBdr>
        <w:top w:val="none" w:sz="0" w:space="0" w:color="auto"/>
        <w:left w:val="none" w:sz="0" w:space="0" w:color="auto"/>
        <w:bottom w:val="none" w:sz="0" w:space="0" w:color="auto"/>
        <w:right w:val="none" w:sz="0" w:space="0" w:color="auto"/>
      </w:divBdr>
    </w:div>
    <w:div w:id="457072725">
      <w:bodyDiv w:val="1"/>
      <w:marLeft w:val="0"/>
      <w:marRight w:val="0"/>
      <w:marTop w:val="0"/>
      <w:marBottom w:val="0"/>
      <w:divBdr>
        <w:top w:val="none" w:sz="0" w:space="0" w:color="auto"/>
        <w:left w:val="none" w:sz="0" w:space="0" w:color="auto"/>
        <w:bottom w:val="none" w:sz="0" w:space="0" w:color="auto"/>
        <w:right w:val="none" w:sz="0" w:space="0" w:color="auto"/>
      </w:divBdr>
    </w:div>
    <w:div w:id="496967373">
      <w:bodyDiv w:val="1"/>
      <w:marLeft w:val="0"/>
      <w:marRight w:val="0"/>
      <w:marTop w:val="0"/>
      <w:marBottom w:val="0"/>
      <w:divBdr>
        <w:top w:val="none" w:sz="0" w:space="0" w:color="auto"/>
        <w:left w:val="none" w:sz="0" w:space="0" w:color="auto"/>
        <w:bottom w:val="none" w:sz="0" w:space="0" w:color="auto"/>
        <w:right w:val="none" w:sz="0" w:space="0" w:color="auto"/>
      </w:divBdr>
    </w:div>
    <w:div w:id="547882102">
      <w:bodyDiv w:val="1"/>
      <w:marLeft w:val="0"/>
      <w:marRight w:val="0"/>
      <w:marTop w:val="0"/>
      <w:marBottom w:val="0"/>
      <w:divBdr>
        <w:top w:val="none" w:sz="0" w:space="0" w:color="auto"/>
        <w:left w:val="none" w:sz="0" w:space="0" w:color="auto"/>
        <w:bottom w:val="none" w:sz="0" w:space="0" w:color="auto"/>
        <w:right w:val="none" w:sz="0" w:space="0" w:color="auto"/>
      </w:divBdr>
    </w:div>
    <w:div w:id="549459234">
      <w:bodyDiv w:val="1"/>
      <w:marLeft w:val="0"/>
      <w:marRight w:val="0"/>
      <w:marTop w:val="0"/>
      <w:marBottom w:val="0"/>
      <w:divBdr>
        <w:top w:val="none" w:sz="0" w:space="0" w:color="auto"/>
        <w:left w:val="none" w:sz="0" w:space="0" w:color="auto"/>
        <w:bottom w:val="none" w:sz="0" w:space="0" w:color="auto"/>
        <w:right w:val="none" w:sz="0" w:space="0" w:color="auto"/>
      </w:divBdr>
    </w:div>
    <w:div w:id="556742028">
      <w:bodyDiv w:val="1"/>
      <w:marLeft w:val="0"/>
      <w:marRight w:val="0"/>
      <w:marTop w:val="0"/>
      <w:marBottom w:val="0"/>
      <w:divBdr>
        <w:top w:val="none" w:sz="0" w:space="0" w:color="auto"/>
        <w:left w:val="none" w:sz="0" w:space="0" w:color="auto"/>
        <w:bottom w:val="none" w:sz="0" w:space="0" w:color="auto"/>
        <w:right w:val="none" w:sz="0" w:space="0" w:color="auto"/>
      </w:divBdr>
    </w:div>
    <w:div w:id="566453962">
      <w:bodyDiv w:val="1"/>
      <w:marLeft w:val="0"/>
      <w:marRight w:val="0"/>
      <w:marTop w:val="0"/>
      <w:marBottom w:val="0"/>
      <w:divBdr>
        <w:top w:val="none" w:sz="0" w:space="0" w:color="auto"/>
        <w:left w:val="none" w:sz="0" w:space="0" w:color="auto"/>
        <w:bottom w:val="none" w:sz="0" w:space="0" w:color="auto"/>
        <w:right w:val="none" w:sz="0" w:space="0" w:color="auto"/>
      </w:divBdr>
    </w:div>
    <w:div w:id="581376813">
      <w:bodyDiv w:val="1"/>
      <w:marLeft w:val="0"/>
      <w:marRight w:val="0"/>
      <w:marTop w:val="0"/>
      <w:marBottom w:val="0"/>
      <w:divBdr>
        <w:top w:val="none" w:sz="0" w:space="0" w:color="auto"/>
        <w:left w:val="none" w:sz="0" w:space="0" w:color="auto"/>
        <w:bottom w:val="none" w:sz="0" w:space="0" w:color="auto"/>
        <w:right w:val="none" w:sz="0" w:space="0" w:color="auto"/>
      </w:divBdr>
    </w:div>
    <w:div w:id="584457480">
      <w:bodyDiv w:val="1"/>
      <w:marLeft w:val="0"/>
      <w:marRight w:val="0"/>
      <w:marTop w:val="0"/>
      <w:marBottom w:val="0"/>
      <w:divBdr>
        <w:top w:val="none" w:sz="0" w:space="0" w:color="auto"/>
        <w:left w:val="none" w:sz="0" w:space="0" w:color="auto"/>
        <w:bottom w:val="none" w:sz="0" w:space="0" w:color="auto"/>
        <w:right w:val="none" w:sz="0" w:space="0" w:color="auto"/>
      </w:divBdr>
    </w:div>
    <w:div w:id="619840046">
      <w:bodyDiv w:val="1"/>
      <w:marLeft w:val="0"/>
      <w:marRight w:val="0"/>
      <w:marTop w:val="0"/>
      <w:marBottom w:val="0"/>
      <w:divBdr>
        <w:top w:val="none" w:sz="0" w:space="0" w:color="auto"/>
        <w:left w:val="none" w:sz="0" w:space="0" w:color="auto"/>
        <w:bottom w:val="none" w:sz="0" w:space="0" w:color="auto"/>
        <w:right w:val="none" w:sz="0" w:space="0" w:color="auto"/>
      </w:divBdr>
    </w:div>
    <w:div w:id="625433591">
      <w:bodyDiv w:val="1"/>
      <w:marLeft w:val="0"/>
      <w:marRight w:val="0"/>
      <w:marTop w:val="0"/>
      <w:marBottom w:val="0"/>
      <w:divBdr>
        <w:top w:val="none" w:sz="0" w:space="0" w:color="auto"/>
        <w:left w:val="none" w:sz="0" w:space="0" w:color="auto"/>
        <w:bottom w:val="none" w:sz="0" w:space="0" w:color="auto"/>
        <w:right w:val="none" w:sz="0" w:space="0" w:color="auto"/>
      </w:divBdr>
    </w:div>
    <w:div w:id="662588795">
      <w:bodyDiv w:val="1"/>
      <w:marLeft w:val="0"/>
      <w:marRight w:val="0"/>
      <w:marTop w:val="0"/>
      <w:marBottom w:val="0"/>
      <w:divBdr>
        <w:top w:val="none" w:sz="0" w:space="0" w:color="auto"/>
        <w:left w:val="none" w:sz="0" w:space="0" w:color="auto"/>
        <w:bottom w:val="none" w:sz="0" w:space="0" w:color="auto"/>
        <w:right w:val="none" w:sz="0" w:space="0" w:color="auto"/>
      </w:divBdr>
    </w:div>
    <w:div w:id="666176685">
      <w:bodyDiv w:val="1"/>
      <w:marLeft w:val="0"/>
      <w:marRight w:val="0"/>
      <w:marTop w:val="0"/>
      <w:marBottom w:val="0"/>
      <w:divBdr>
        <w:top w:val="none" w:sz="0" w:space="0" w:color="auto"/>
        <w:left w:val="none" w:sz="0" w:space="0" w:color="auto"/>
        <w:bottom w:val="none" w:sz="0" w:space="0" w:color="auto"/>
        <w:right w:val="none" w:sz="0" w:space="0" w:color="auto"/>
      </w:divBdr>
    </w:div>
    <w:div w:id="669992386">
      <w:bodyDiv w:val="1"/>
      <w:marLeft w:val="0"/>
      <w:marRight w:val="0"/>
      <w:marTop w:val="0"/>
      <w:marBottom w:val="0"/>
      <w:divBdr>
        <w:top w:val="none" w:sz="0" w:space="0" w:color="auto"/>
        <w:left w:val="none" w:sz="0" w:space="0" w:color="auto"/>
        <w:bottom w:val="none" w:sz="0" w:space="0" w:color="auto"/>
        <w:right w:val="none" w:sz="0" w:space="0" w:color="auto"/>
      </w:divBdr>
    </w:div>
    <w:div w:id="707491358">
      <w:bodyDiv w:val="1"/>
      <w:marLeft w:val="0"/>
      <w:marRight w:val="0"/>
      <w:marTop w:val="0"/>
      <w:marBottom w:val="0"/>
      <w:divBdr>
        <w:top w:val="none" w:sz="0" w:space="0" w:color="auto"/>
        <w:left w:val="none" w:sz="0" w:space="0" w:color="auto"/>
        <w:bottom w:val="none" w:sz="0" w:space="0" w:color="auto"/>
        <w:right w:val="none" w:sz="0" w:space="0" w:color="auto"/>
      </w:divBdr>
    </w:div>
    <w:div w:id="768769594">
      <w:bodyDiv w:val="1"/>
      <w:marLeft w:val="0"/>
      <w:marRight w:val="0"/>
      <w:marTop w:val="0"/>
      <w:marBottom w:val="0"/>
      <w:divBdr>
        <w:top w:val="none" w:sz="0" w:space="0" w:color="auto"/>
        <w:left w:val="none" w:sz="0" w:space="0" w:color="auto"/>
        <w:bottom w:val="none" w:sz="0" w:space="0" w:color="auto"/>
        <w:right w:val="none" w:sz="0" w:space="0" w:color="auto"/>
      </w:divBdr>
    </w:div>
    <w:div w:id="781650950">
      <w:bodyDiv w:val="1"/>
      <w:marLeft w:val="0"/>
      <w:marRight w:val="0"/>
      <w:marTop w:val="0"/>
      <w:marBottom w:val="0"/>
      <w:divBdr>
        <w:top w:val="none" w:sz="0" w:space="0" w:color="auto"/>
        <w:left w:val="none" w:sz="0" w:space="0" w:color="auto"/>
        <w:bottom w:val="none" w:sz="0" w:space="0" w:color="auto"/>
        <w:right w:val="none" w:sz="0" w:space="0" w:color="auto"/>
      </w:divBdr>
    </w:div>
    <w:div w:id="817264905">
      <w:bodyDiv w:val="1"/>
      <w:marLeft w:val="0"/>
      <w:marRight w:val="0"/>
      <w:marTop w:val="0"/>
      <w:marBottom w:val="0"/>
      <w:divBdr>
        <w:top w:val="none" w:sz="0" w:space="0" w:color="auto"/>
        <w:left w:val="none" w:sz="0" w:space="0" w:color="auto"/>
        <w:bottom w:val="none" w:sz="0" w:space="0" w:color="auto"/>
        <w:right w:val="none" w:sz="0" w:space="0" w:color="auto"/>
      </w:divBdr>
    </w:div>
    <w:div w:id="836534154">
      <w:bodyDiv w:val="1"/>
      <w:marLeft w:val="0"/>
      <w:marRight w:val="0"/>
      <w:marTop w:val="0"/>
      <w:marBottom w:val="0"/>
      <w:divBdr>
        <w:top w:val="none" w:sz="0" w:space="0" w:color="auto"/>
        <w:left w:val="none" w:sz="0" w:space="0" w:color="auto"/>
        <w:bottom w:val="none" w:sz="0" w:space="0" w:color="auto"/>
        <w:right w:val="none" w:sz="0" w:space="0" w:color="auto"/>
      </w:divBdr>
    </w:div>
    <w:div w:id="839202764">
      <w:bodyDiv w:val="1"/>
      <w:marLeft w:val="0"/>
      <w:marRight w:val="0"/>
      <w:marTop w:val="0"/>
      <w:marBottom w:val="0"/>
      <w:divBdr>
        <w:top w:val="none" w:sz="0" w:space="0" w:color="auto"/>
        <w:left w:val="none" w:sz="0" w:space="0" w:color="auto"/>
        <w:bottom w:val="none" w:sz="0" w:space="0" w:color="auto"/>
        <w:right w:val="none" w:sz="0" w:space="0" w:color="auto"/>
      </w:divBdr>
    </w:div>
    <w:div w:id="840779849">
      <w:bodyDiv w:val="1"/>
      <w:marLeft w:val="0"/>
      <w:marRight w:val="0"/>
      <w:marTop w:val="0"/>
      <w:marBottom w:val="0"/>
      <w:divBdr>
        <w:top w:val="none" w:sz="0" w:space="0" w:color="auto"/>
        <w:left w:val="none" w:sz="0" w:space="0" w:color="auto"/>
        <w:bottom w:val="none" w:sz="0" w:space="0" w:color="auto"/>
        <w:right w:val="none" w:sz="0" w:space="0" w:color="auto"/>
      </w:divBdr>
    </w:div>
    <w:div w:id="897084200">
      <w:bodyDiv w:val="1"/>
      <w:marLeft w:val="0"/>
      <w:marRight w:val="0"/>
      <w:marTop w:val="0"/>
      <w:marBottom w:val="0"/>
      <w:divBdr>
        <w:top w:val="none" w:sz="0" w:space="0" w:color="auto"/>
        <w:left w:val="none" w:sz="0" w:space="0" w:color="auto"/>
        <w:bottom w:val="none" w:sz="0" w:space="0" w:color="auto"/>
        <w:right w:val="none" w:sz="0" w:space="0" w:color="auto"/>
      </w:divBdr>
    </w:div>
    <w:div w:id="916088578">
      <w:bodyDiv w:val="1"/>
      <w:marLeft w:val="0"/>
      <w:marRight w:val="0"/>
      <w:marTop w:val="0"/>
      <w:marBottom w:val="0"/>
      <w:divBdr>
        <w:top w:val="none" w:sz="0" w:space="0" w:color="auto"/>
        <w:left w:val="none" w:sz="0" w:space="0" w:color="auto"/>
        <w:bottom w:val="none" w:sz="0" w:space="0" w:color="auto"/>
        <w:right w:val="none" w:sz="0" w:space="0" w:color="auto"/>
      </w:divBdr>
    </w:div>
    <w:div w:id="955715936">
      <w:bodyDiv w:val="1"/>
      <w:marLeft w:val="0"/>
      <w:marRight w:val="0"/>
      <w:marTop w:val="0"/>
      <w:marBottom w:val="0"/>
      <w:divBdr>
        <w:top w:val="none" w:sz="0" w:space="0" w:color="auto"/>
        <w:left w:val="none" w:sz="0" w:space="0" w:color="auto"/>
        <w:bottom w:val="none" w:sz="0" w:space="0" w:color="auto"/>
        <w:right w:val="none" w:sz="0" w:space="0" w:color="auto"/>
      </w:divBdr>
    </w:div>
    <w:div w:id="1008748195">
      <w:bodyDiv w:val="1"/>
      <w:marLeft w:val="0"/>
      <w:marRight w:val="0"/>
      <w:marTop w:val="0"/>
      <w:marBottom w:val="0"/>
      <w:divBdr>
        <w:top w:val="none" w:sz="0" w:space="0" w:color="auto"/>
        <w:left w:val="none" w:sz="0" w:space="0" w:color="auto"/>
        <w:bottom w:val="none" w:sz="0" w:space="0" w:color="auto"/>
        <w:right w:val="none" w:sz="0" w:space="0" w:color="auto"/>
      </w:divBdr>
    </w:div>
    <w:div w:id="1043822347">
      <w:bodyDiv w:val="1"/>
      <w:marLeft w:val="0"/>
      <w:marRight w:val="0"/>
      <w:marTop w:val="0"/>
      <w:marBottom w:val="0"/>
      <w:divBdr>
        <w:top w:val="none" w:sz="0" w:space="0" w:color="auto"/>
        <w:left w:val="none" w:sz="0" w:space="0" w:color="auto"/>
        <w:bottom w:val="none" w:sz="0" w:space="0" w:color="auto"/>
        <w:right w:val="none" w:sz="0" w:space="0" w:color="auto"/>
      </w:divBdr>
    </w:div>
    <w:div w:id="1121345385">
      <w:bodyDiv w:val="1"/>
      <w:marLeft w:val="0"/>
      <w:marRight w:val="0"/>
      <w:marTop w:val="0"/>
      <w:marBottom w:val="0"/>
      <w:divBdr>
        <w:top w:val="none" w:sz="0" w:space="0" w:color="auto"/>
        <w:left w:val="none" w:sz="0" w:space="0" w:color="auto"/>
        <w:bottom w:val="none" w:sz="0" w:space="0" w:color="auto"/>
        <w:right w:val="none" w:sz="0" w:space="0" w:color="auto"/>
      </w:divBdr>
    </w:div>
    <w:div w:id="1198549618">
      <w:bodyDiv w:val="1"/>
      <w:marLeft w:val="0"/>
      <w:marRight w:val="0"/>
      <w:marTop w:val="0"/>
      <w:marBottom w:val="0"/>
      <w:divBdr>
        <w:top w:val="none" w:sz="0" w:space="0" w:color="auto"/>
        <w:left w:val="none" w:sz="0" w:space="0" w:color="auto"/>
        <w:bottom w:val="none" w:sz="0" w:space="0" w:color="auto"/>
        <w:right w:val="none" w:sz="0" w:space="0" w:color="auto"/>
      </w:divBdr>
    </w:div>
    <w:div w:id="1201625771">
      <w:bodyDiv w:val="1"/>
      <w:marLeft w:val="0"/>
      <w:marRight w:val="0"/>
      <w:marTop w:val="0"/>
      <w:marBottom w:val="0"/>
      <w:divBdr>
        <w:top w:val="none" w:sz="0" w:space="0" w:color="auto"/>
        <w:left w:val="none" w:sz="0" w:space="0" w:color="auto"/>
        <w:bottom w:val="none" w:sz="0" w:space="0" w:color="auto"/>
        <w:right w:val="none" w:sz="0" w:space="0" w:color="auto"/>
      </w:divBdr>
    </w:div>
    <w:div w:id="1201628616">
      <w:bodyDiv w:val="1"/>
      <w:marLeft w:val="0"/>
      <w:marRight w:val="0"/>
      <w:marTop w:val="0"/>
      <w:marBottom w:val="0"/>
      <w:divBdr>
        <w:top w:val="none" w:sz="0" w:space="0" w:color="auto"/>
        <w:left w:val="none" w:sz="0" w:space="0" w:color="auto"/>
        <w:bottom w:val="none" w:sz="0" w:space="0" w:color="auto"/>
        <w:right w:val="none" w:sz="0" w:space="0" w:color="auto"/>
      </w:divBdr>
    </w:div>
    <w:div w:id="1203788035">
      <w:bodyDiv w:val="1"/>
      <w:marLeft w:val="0"/>
      <w:marRight w:val="0"/>
      <w:marTop w:val="0"/>
      <w:marBottom w:val="0"/>
      <w:divBdr>
        <w:top w:val="none" w:sz="0" w:space="0" w:color="auto"/>
        <w:left w:val="none" w:sz="0" w:space="0" w:color="auto"/>
        <w:bottom w:val="none" w:sz="0" w:space="0" w:color="auto"/>
        <w:right w:val="none" w:sz="0" w:space="0" w:color="auto"/>
      </w:divBdr>
    </w:div>
    <w:div w:id="1304388914">
      <w:bodyDiv w:val="1"/>
      <w:marLeft w:val="0"/>
      <w:marRight w:val="0"/>
      <w:marTop w:val="0"/>
      <w:marBottom w:val="0"/>
      <w:divBdr>
        <w:top w:val="none" w:sz="0" w:space="0" w:color="auto"/>
        <w:left w:val="none" w:sz="0" w:space="0" w:color="auto"/>
        <w:bottom w:val="none" w:sz="0" w:space="0" w:color="auto"/>
        <w:right w:val="none" w:sz="0" w:space="0" w:color="auto"/>
      </w:divBdr>
    </w:div>
    <w:div w:id="1318877596">
      <w:bodyDiv w:val="1"/>
      <w:marLeft w:val="0"/>
      <w:marRight w:val="0"/>
      <w:marTop w:val="0"/>
      <w:marBottom w:val="0"/>
      <w:divBdr>
        <w:top w:val="none" w:sz="0" w:space="0" w:color="auto"/>
        <w:left w:val="none" w:sz="0" w:space="0" w:color="auto"/>
        <w:bottom w:val="none" w:sz="0" w:space="0" w:color="auto"/>
        <w:right w:val="none" w:sz="0" w:space="0" w:color="auto"/>
      </w:divBdr>
    </w:div>
    <w:div w:id="1327787710">
      <w:bodyDiv w:val="1"/>
      <w:marLeft w:val="0"/>
      <w:marRight w:val="0"/>
      <w:marTop w:val="0"/>
      <w:marBottom w:val="0"/>
      <w:divBdr>
        <w:top w:val="none" w:sz="0" w:space="0" w:color="auto"/>
        <w:left w:val="none" w:sz="0" w:space="0" w:color="auto"/>
        <w:bottom w:val="none" w:sz="0" w:space="0" w:color="auto"/>
        <w:right w:val="none" w:sz="0" w:space="0" w:color="auto"/>
      </w:divBdr>
    </w:div>
    <w:div w:id="1412004846">
      <w:bodyDiv w:val="1"/>
      <w:marLeft w:val="0"/>
      <w:marRight w:val="0"/>
      <w:marTop w:val="0"/>
      <w:marBottom w:val="0"/>
      <w:divBdr>
        <w:top w:val="none" w:sz="0" w:space="0" w:color="auto"/>
        <w:left w:val="none" w:sz="0" w:space="0" w:color="auto"/>
        <w:bottom w:val="none" w:sz="0" w:space="0" w:color="auto"/>
        <w:right w:val="none" w:sz="0" w:space="0" w:color="auto"/>
      </w:divBdr>
    </w:div>
    <w:div w:id="1504781982">
      <w:bodyDiv w:val="1"/>
      <w:marLeft w:val="0"/>
      <w:marRight w:val="0"/>
      <w:marTop w:val="0"/>
      <w:marBottom w:val="0"/>
      <w:divBdr>
        <w:top w:val="none" w:sz="0" w:space="0" w:color="auto"/>
        <w:left w:val="none" w:sz="0" w:space="0" w:color="auto"/>
        <w:bottom w:val="none" w:sz="0" w:space="0" w:color="auto"/>
        <w:right w:val="none" w:sz="0" w:space="0" w:color="auto"/>
      </w:divBdr>
    </w:div>
    <w:div w:id="1544708927">
      <w:bodyDiv w:val="1"/>
      <w:marLeft w:val="0"/>
      <w:marRight w:val="0"/>
      <w:marTop w:val="0"/>
      <w:marBottom w:val="0"/>
      <w:divBdr>
        <w:top w:val="none" w:sz="0" w:space="0" w:color="auto"/>
        <w:left w:val="none" w:sz="0" w:space="0" w:color="auto"/>
        <w:bottom w:val="none" w:sz="0" w:space="0" w:color="auto"/>
        <w:right w:val="none" w:sz="0" w:space="0" w:color="auto"/>
      </w:divBdr>
    </w:div>
    <w:div w:id="1708873050">
      <w:bodyDiv w:val="1"/>
      <w:marLeft w:val="0"/>
      <w:marRight w:val="0"/>
      <w:marTop w:val="0"/>
      <w:marBottom w:val="0"/>
      <w:divBdr>
        <w:top w:val="none" w:sz="0" w:space="0" w:color="auto"/>
        <w:left w:val="none" w:sz="0" w:space="0" w:color="auto"/>
        <w:bottom w:val="none" w:sz="0" w:space="0" w:color="auto"/>
        <w:right w:val="none" w:sz="0" w:space="0" w:color="auto"/>
      </w:divBdr>
    </w:div>
    <w:div w:id="1773238146">
      <w:bodyDiv w:val="1"/>
      <w:marLeft w:val="0"/>
      <w:marRight w:val="0"/>
      <w:marTop w:val="0"/>
      <w:marBottom w:val="0"/>
      <w:divBdr>
        <w:top w:val="none" w:sz="0" w:space="0" w:color="auto"/>
        <w:left w:val="none" w:sz="0" w:space="0" w:color="auto"/>
        <w:bottom w:val="none" w:sz="0" w:space="0" w:color="auto"/>
        <w:right w:val="none" w:sz="0" w:space="0" w:color="auto"/>
      </w:divBdr>
    </w:div>
    <w:div w:id="1839079647">
      <w:bodyDiv w:val="1"/>
      <w:marLeft w:val="0"/>
      <w:marRight w:val="0"/>
      <w:marTop w:val="0"/>
      <w:marBottom w:val="0"/>
      <w:divBdr>
        <w:top w:val="none" w:sz="0" w:space="0" w:color="auto"/>
        <w:left w:val="none" w:sz="0" w:space="0" w:color="auto"/>
        <w:bottom w:val="none" w:sz="0" w:space="0" w:color="auto"/>
        <w:right w:val="none" w:sz="0" w:space="0" w:color="auto"/>
      </w:divBdr>
    </w:div>
    <w:div w:id="1869950580">
      <w:bodyDiv w:val="1"/>
      <w:marLeft w:val="0"/>
      <w:marRight w:val="0"/>
      <w:marTop w:val="0"/>
      <w:marBottom w:val="0"/>
      <w:divBdr>
        <w:top w:val="none" w:sz="0" w:space="0" w:color="auto"/>
        <w:left w:val="none" w:sz="0" w:space="0" w:color="auto"/>
        <w:bottom w:val="none" w:sz="0" w:space="0" w:color="auto"/>
        <w:right w:val="none" w:sz="0" w:space="0" w:color="auto"/>
      </w:divBdr>
    </w:div>
    <w:div w:id="1915046267">
      <w:bodyDiv w:val="1"/>
      <w:marLeft w:val="0"/>
      <w:marRight w:val="0"/>
      <w:marTop w:val="0"/>
      <w:marBottom w:val="0"/>
      <w:divBdr>
        <w:top w:val="none" w:sz="0" w:space="0" w:color="auto"/>
        <w:left w:val="none" w:sz="0" w:space="0" w:color="auto"/>
        <w:bottom w:val="none" w:sz="0" w:space="0" w:color="auto"/>
        <w:right w:val="none" w:sz="0" w:space="0" w:color="auto"/>
      </w:divBdr>
    </w:div>
    <w:div w:id="1983802658">
      <w:bodyDiv w:val="1"/>
      <w:marLeft w:val="0"/>
      <w:marRight w:val="0"/>
      <w:marTop w:val="0"/>
      <w:marBottom w:val="0"/>
      <w:divBdr>
        <w:top w:val="none" w:sz="0" w:space="0" w:color="auto"/>
        <w:left w:val="none" w:sz="0" w:space="0" w:color="auto"/>
        <w:bottom w:val="none" w:sz="0" w:space="0" w:color="auto"/>
        <w:right w:val="none" w:sz="0" w:space="0" w:color="auto"/>
      </w:divBdr>
    </w:div>
    <w:div w:id="2031756864">
      <w:bodyDiv w:val="1"/>
      <w:marLeft w:val="0"/>
      <w:marRight w:val="0"/>
      <w:marTop w:val="0"/>
      <w:marBottom w:val="0"/>
      <w:divBdr>
        <w:top w:val="none" w:sz="0" w:space="0" w:color="auto"/>
        <w:left w:val="none" w:sz="0" w:space="0" w:color="auto"/>
        <w:bottom w:val="none" w:sz="0" w:space="0" w:color="auto"/>
        <w:right w:val="none" w:sz="0" w:space="0" w:color="auto"/>
      </w:divBdr>
    </w:div>
    <w:div w:id="2087604500">
      <w:bodyDiv w:val="1"/>
      <w:marLeft w:val="0"/>
      <w:marRight w:val="0"/>
      <w:marTop w:val="0"/>
      <w:marBottom w:val="0"/>
      <w:divBdr>
        <w:top w:val="none" w:sz="0" w:space="0" w:color="auto"/>
        <w:left w:val="none" w:sz="0" w:space="0" w:color="auto"/>
        <w:bottom w:val="none" w:sz="0" w:space="0" w:color="auto"/>
        <w:right w:val="none" w:sz="0" w:space="0" w:color="auto"/>
      </w:divBdr>
    </w:div>
    <w:div w:id="2101024629">
      <w:bodyDiv w:val="1"/>
      <w:marLeft w:val="0"/>
      <w:marRight w:val="0"/>
      <w:marTop w:val="0"/>
      <w:marBottom w:val="0"/>
      <w:divBdr>
        <w:top w:val="none" w:sz="0" w:space="0" w:color="auto"/>
        <w:left w:val="none" w:sz="0" w:space="0" w:color="auto"/>
        <w:bottom w:val="none" w:sz="0" w:space="0" w:color="auto"/>
        <w:right w:val="none" w:sz="0" w:space="0" w:color="auto"/>
      </w:divBdr>
    </w:div>
    <w:div w:id="2103840566">
      <w:bodyDiv w:val="1"/>
      <w:marLeft w:val="0"/>
      <w:marRight w:val="0"/>
      <w:marTop w:val="0"/>
      <w:marBottom w:val="0"/>
      <w:divBdr>
        <w:top w:val="none" w:sz="0" w:space="0" w:color="auto"/>
        <w:left w:val="none" w:sz="0" w:space="0" w:color="auto"/>
        <w:bottom w:val="none" w:sz="0" w:space="0" w:color="auto"/>
        <w:right w:val="none" w:sz="0" w:space="0" w:color="auto"/>
      </w:divBdr>
    </w:div>
    <w:div w:id="211786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e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l.gov/whd/faq_workers.ht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ea@cityemployee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3145</Words>
  <Characters>17927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Natke</dc:creator>
  <cp:keywords/>
  <dc:description/>
  <cp:lastModifiedBy>Kara Natke</cp:lastModifiedBy>
  <cp:revision>2</cp:revision>
  <dcterms:created xsi:type="dcterms:W3CDTF">2018-06-25T22:25:00Z</dcterms:created>
  <dcterms:modified xsi:type="dcterms:W3CDTF">2018-06-25T22:25:00Z</dcterms:modified>
</cp:coreProperties>
</file>