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511CE" w14:textId="77777777" w:rsidR="00243DC7" w:rsidRPr="00243DC7" w:rsidRDefault="00243DC7" w:rsidP="00243DC7">
      <w:pPr>
        <w:jc w:val="center"/>
        <w:rPr>
          <w:rFonts w:ascii="Times New Roman" w:hAnsi="Times New Roman" w:cs="Times New Roman"/>
          <w:b/>
          <w:i/>
          <w:color w:val="97195E"/>
          <w:sz w:val="72"/>
          <w:szCs w:val="72"/>
        </w:rPr>
      </w:pPr>
      <w:r w:rsidRPr="00243DC7">
        <w:rPr>
          <w:rFonts w:ascii="Times New Roman" w:hAnsi="Times New Roman" w:cs="Times New Roman"/>
          <w:b/>
          <w:i/>
          <w:color w:val="97195E"/>
          <w:sz w:val="72"/>
          <w:szCs w:val="72"/>
        </w:rPr>
        <w:t>Torrance Professio</w:t>
      </w:r>
      <w:bookmarkStart w:id="0" w:name="_GoBack"/>
      <w:bookmarkEnd w:id="0"/>
      <w:r w:rsidRPr="00243DC7">
        <w:rPr>
          <w:rFonts w:ascii="Times New Roman" w:hAnsi="Times New Roman" w:cs="Times New Roman"/>
          <w:b/>
          <w:i/>
          <w:color w:val="97195E"/>
          <w:sz w:val="72"/>
          <w:szCs w:val="72"/>
        </w:rPr>
        <w:t xml:space="preserve">nals &amp; Supervisors Association </w:t>
      </w:r>
    </w:p>
    <w:p w14:paraId="43CD0040" w14:textId="67B4913F" w:rsidR="00701497" w:rsidRPr="00A719BD" w:rsidRDefault="00CF5AAC" w:rsidP="00F8656F">
      <w:pPr>
        <w:jc w:val="center"/>
        <w:rPr>
          <w:rFonts w:ascii="Times New Roman" w:hAnsi="Times New Roman" w:cs="Times New Roman"/>
          <w:b/>
          <w:i/>
          <w:color w:val="97195E"/>
          <w:sz w:val="72"/>
          <w:szCs w:val="72"/>
        </w:rPr>
      </w:pPr>
      <w:r w:rsidRPr="00A719BD">
        <w:rPr>
          <w:rFonts w:ascii="Times New Roman" w:hAnsi="Times New Roman" w:cs="Times New Roman"/>
          <w:b/>
          <w:i/>
          <w:color w:val="97195E"/>
          <w:sz w:val="72"/>
          <w:szCs w:val="72"/>
        </w:rPr>
        <w:t>August</w:t>
      </w:r>
      <w:r w:rsidR="00D11C09" w:rsidRPr="00A719BD">
        <w:rPr>
          <w:rFonts w:ascii="Times New Roman" w:hAnsi="Times New Roman" w:cs="Times New Roman"/>
          <w:b/>
          <w:i/>
          <w:color w:val="97195E"/>
          <w:sz w:val="72"/>
          <w:szCs w:val="72"/>
        </w:rPr>
        <w:t xml:space="preserve"> 2018 News</w:t>
      </w:r>
    </w:p>
    <w:p w14:paraId="5B83D4F4" w14:textId="77777777" w:rsidR="00E323E9" w:rsidRDefault="00E323E9" w:rsidP="00E323E9">
      <w:pPr>
        <w:spacing w:after="0" w:line="240" w:lineRule="auto"/>
        <w:jc w:val="center"/>
        <w:rPr>
          <w:b/>
          <w:sz w:val="48"/>
          <w:szCs w:val="48"/>
        </w:rPr>
      </w:pPr>
    </w:p>
    <w:p w14:paraId="0E0C29C7" w14:textId="0C2DE6B1" w:rsidR="00E323E9" w:rsidRPr="00875605" w:rsidRDefault="005E13FE" w:rsidP="005E13FE">
      <w:pPr>
        <w:spacing w:after="120" w:line="240" w:lineRule="auto"/>
        <w:jc w:val="center"/>
        <w:rPr>
          <w:b/>
          <w:sz w:val="48"/>
          <w:szCs w:val="48"/>
        </w:rPr>
      </w:pPr>
      <w:r>
        <w:rPr>
          <w:b/>
          <w:sz w:val="48"/>
          <w:szCs w:val="48"/>
        </w:rPr>
        <w:t>Supreme Court Strikes Down Fair Share Fees</w:t>
      </w:r>
      <w:r w:rsidR="009978A8">
        <w:rPr>
          <w:b/>
          <w:sz w:val="48"/>
          <w:szCs w:val="48"/>
        </w:rPr>
        <w:t>,</w:t>
      </w:r>
      <w:r>
        <w:rPr>
          <w:b/>
          <w:sz w:val="48"/>
          <w:szCs w:val="48"/>
        </w:rPr>
        <w:t xml:space="preserve"> </w:t>
      </w:r>
      <w:r w:rsidR="009978A8">
        <w:rPr>
          <w:b/>
          <w:sz w:val="48"/>
          <w:szCs w:val="48"/>
        </w:rPr>
        <w:t xml:space="preserve">But Not </w:t>
      </w:r>
      <w:r w:rsidR="00162254">
        <w:rPr>
          <w:b/>
          <w:sz w:val="48"/>
          <w:szCs w:val="48"/>
        </w:rPr>
        <w:t>Quite</w:t>
      </w:r>
      <w:r w:rsidR="009978A8">
        <w:rPr>
          <w:b/>
          <w:sz w:val="48"/>
          <w:szCs w:val="48"/>
        </w:rPr>
        <w:t xml:space="preserve"> a </w:t>
      </w:r>
      <w:r w:rsidR="00162254">
        <w:rPr>
          <w:b/>
          <w:sz w:val="48"/>
          <w:szCs w:val="48"/>
        </w:rPr>
        <w:t>“</w:t>
      </w:r>
      <w:r w:rsidR="009978A8">
        <w:rPr>
          <w:b/>
          <w:sz w:val="48"/>
          <w:szCs w:val="48"/>
        </w:rPr>
        <w:t>Free Ride</w:t>
      </w:r>
      <w:r w:rsidR="00162254">
        <w:rPr>
          <w:b/>
          <w:sz w:val="48"/>
          <w:szCs w:val="48"/>
        </w:rPr>
        <w:t>”</w:t>
      </w:r>
      <w:r w:rsidR="009978A8">
        <w:rPr>
          <w:b/>
          <w:sz w:val="48"/>
          <w:szCs w:val="48"/>
        </w:rPr>
        <w:t xml:space="preserve"> for Non</w:t>
      </w:r>
      <w:r w:rsidR="00162254">
        <w:rPr>
          <w:b/>
          <w:sz w:val="48"/>
          <w:szCs w:val="48"/>
        </w:rPr>
        <w:t>-</w:t>
      </w:r>
      <w:r w:rsidR="009978A8">
        <w:rPr>
          <w:b/>
          <w:sz w:val="48"/>
          <w:szCs w:val="48"/>
        </w:rPr>
        <w:t>Members</w:t>
      </w:r>
    </w:p>
    <w:p w14:paraId="6D1A92C5" w14:textId="093546F2" w:rsidR="005E13FE" w:rsidRDefault="005E13FE" w:rsidP="005E13FE">
      <w:pPr>
        <w:spacing w:after="0" w:line="240" w:lineRule="auto"/>
        <w:jc w:val="both"/>
        <w:rPr>
          <w:sz w:val="26"/>
          <w:szCs w:val="26"/>
        </w:rPr>
      </w:pPr>
      <w:r>
        <w:rPr>
          <w:sz w:val="26"/>
          <w:szCs w:val="26"/>
        </w:rPr>
        <w:t xml:space="preserve">On June 27, the U.S. Supreme Court finished its 2017-2018 </w:t>
      </w:r>
      <w:r w:rsidRPr="00410BE7">
        <w:rPr>
          <w:sz w:val="26"/>
          <w:szCs w:val="26"/>
        </w:rPr>
        <w:t xml:space="preserve">term, issuing a </w:t>
      </w:r>
      <w:r>
        <w:rPr>
          <w:sz w:val="26"/>
          <w:szCs w:val="26"/>
        </w:rPr>
        <w:t xml:space="preserve">blow to public-sector unions </w:t>
      </w:r>
      <w:r w:rsidRPr="00410BE7">
        <w:rPr>
          <w:sz w:val="26"/>
          <w:szCs w:val="26"/>
        </w:rPr>
        <w:t xml:space="preserve">in the closely watched case of </w:t>
      </w:r>
      <w:r w:rsidRPr="00410BE7">
        <w:rPr>
          <w:i/>
          <w:sz w:val="26"/>
          <w:szCs w:val="26"/>
        </w:rPr>
        <w:t>Janus v. AFSCME</w:t>
      </w:r>
      <w:r w:rsidRPr="00410BE7">
        <w:rPr>
          <w:sz w:val="26"/>
          <w:szCs w:val="26"/>
        </w:rPr>
        <w:t xml:space="preserve">.  </w:t>
      </w:r>
      <w:r>
        <w:rPr>
          <w:sz w:val="26"/>
          <w:szCs w:val="26"/>
        </w:rPr>
        <w:t xml:space="preserve">On the last day of the term, the Court held that Agency Shop provisions that require “fair share” fees are now unlawful in all 50 states, despite 40 years of legal precedent and a previous U.S. Supreme Court decision, </w:t>
      </w:r>
      <w:proofErr w:type="spellStart"/>
      <w:r w:rsidRPr="00410BE7">
        <w:rPr>
          <w:i/>
          <w:sz w:val="26"/>
          <w:szCs w:val="26"/>
        </w:rPr>
        <w:t>Abood</w:t>
      </w:r>
      <w:proofErr w:type="spellEnd"/>
      <w:r w:rsidRPr="00410BE7">
        <w:rPr>
          <w:i/>
          <w:sz w:val="26"/>
          <w:szCs w:val="26"/>
        </w:rPr>
        <w:t xml:space="preserve"> v. Detroit Board of Education</w:t>
      </w:r>
      <w:r w:rsidRPr="00410BE7">
        <w:rPr>
          <w:sz w:val="26"/>
          <w:szCs w:val="26"/>
        </w:rPr>
        <w:t>,</w:t>
      </w:r>
      <w:r>
        <w:rPr>
          <w:sz w:val="26"/>
          <w:szCs w:val="26"/>
        </w:rPr>
        <w:t xml:space="preserve"> (1977), that had</w:t>
      </w:r>
      <w:r w:rsidR="00162254">
        <w:rPr>
          <w:sz w:val="26"/>
          <w:szCs w:val="26"/>
        </w:rPr>
        <w:t xml:space="preserve"> long since</w:t>
      </w:r>
      <w:r>
        <w:rPr>
          <w:sz w:val="26"/>
          <w:szCs w:val="26"/>
        </w:rPr>
        <w:t xml:space="preserve"> </w:t>
      </w:r>
      <w:r w:rsidR="00D04DF2">
        <w:rPr>
          <w:sz w:val="26"/>
          <w:szCs w:val="26"/>
        </w:rPr>
        <w:t>validated them</w:t>
      </w:r>
      <w:r>
        <w:rPr>
          <w:sz w:val="26"/>
          <w:szCs w:val="26"/>
        </w:rPr>
        <w:t xml:space="preserve">.  </w:t>
      </w:r>
    </w:p>
    <w:p w14:paraId="7D663CBA" w14:textId="77777777" w:rsidR="005E13FE" w:rsidRDefault="005E13FE" w:rsidP="005E13FE">
      <w:pPr>
        <w:spacing w:after="0" w:line="240" w:lineRule="auto"/>
        <w:jc w:val="both"/>
        <w:rPr>
          <w:sz w:val="26"/>
          <w:szCs w:val="26"/>
        </w:rPr>
      </w:pPr>
    </w:p>
    <w:p w14:paraId="7B4C3F93" w14:textId="52C2219A" w:rsidR="005E13FE" w:rsidRPr="00410BE7" w:rsidRDefault="005E13FE" w:rsidP="005E13FE">
      <w:pPr>
        <w:spacing w:after="0" w:line="240" w:lineRule="auto"/>
        <w:jc w:val="both"/>
        <w:rPr>
          <w:sz w:val="26"/>
          <w:szCs w:val="26"/>
        </w:rPr>
      </w:pPr>
      <w:r w:rsidRPr="00410BE7">
        <w:rPr>
          <w:sz w:val="26"/>
          <w:szCs w:val="26"/>
        </w:rPr>
        <w:t xml:space="preserve">Mark Janus, an Illinois state employee, sued his union claiming that he did not agree with </w:t>
      </w:r>
      <w:r>
        <w:rPr>
          <w:sz w:val="26"/>
          <w:szCs w:val="26"/>
        </w:rPr>
        <w:t>their</w:t>
      </w:r>
      <w:r w:rsidRPr="00410BE7">
        <w:rPr>
          <w:sz w:val="26"/>
          <w:szCs w:val="26"/>
        </w:rPr>
        <w:t xml:space="preserve"> positions </w:t>
      </w:r>
      <w:r>
        <w:rPr>
          <w:sz w:val="26"/>
          <w:szCs w:val="26"/>
        </w:rPr>
        <w:t xml:space="preserve">during collective bargaining </w:t>
      </w:r>
      <w:r w:rsidRPr="00410BE7">
        <w:rPr>
          <w:sz w:val="26"/>
          <w:szCs w:val="26"/>
        </w:rPr>
        <w:t>and</w:t>
      </w:r>
      <w:r>
        <w:rPr>
          <w:sz w:val="26"/>
          <w:szCs w:val="26"/>
        </w:rPr>
        <w:t xml:space="preserve"> so he</w:t>
      </w:r>
      <w:r w:rsidRPr="00410BE7">
        <w:rPr>
          <w:sz w:val="26"/>
          <w:szCs w:val="26"/>
        </w:rPr>
        <w:t xml:space="preserve"> shouldn’t be forced to pay fees to support it.  </w:t>
      </w:r>
      <w:r w:rsidR="00D62656">
        <w:rPr>
          <w:sz w:val="26"/>
          <w:szCs w:val="26"/>
        </w:rPr>
        <w:t xml:space="preserve">He would get the benefit of the contract either way.  </w:t>
      </w:r>
      <w:r w:rsidRPr="00410BE7">
        <w:rPr>
          <w:sz w:val="26"/>
          <w:szCs w:val="26"/>
        </w:rPr>
        <w:t xml:space="preserve">An Illinois law requires government workers to pay a fee </w:t>
      </w:r>
      <w:r>
        <w:rPr>
          <w:sz w:val="26"/>
          <w:szCs w:val="26"/>
        </w:rPr>
        <w:t xml:space="preserve">(called “agency fees,” or more appropriately, “fair share fees”) to cover the union’s costs </w:t>
      </w:r>
      <w:r w:rsidRPr="00410BE7">
        <w:rPr>
          <w:sz w:val="26"/>
          <w:szCs w:val="26"/>
        </w:rPr>
        <w:t>for collective bargaining</w:t>
      </w:r>
      <w:r>
        <w:rPr>
          <w:sz w:val="26"/>
          <w:szCs w:val="26"/>
        </w:rPr>
        <w:t xml:space="preserve"> and representation, even if the worker refuses to join as a union member</w:t>
      </w:r>
      <w:r w:rsidRPr="00410BE7">
        <w:rPr>
          <w:sz w:val="26"/>
          <w:szCs w:val="26"/>
        </w:rPr>
        <w:t>.  The U.S. Supreme Court said</w:t>
      </w:r>
      <w:r>
        <w:rPr>
          <w:sz w:val="26"/>
          <w:szCs w:val="26"/>
        </w:rPr>
        <w:t xml:space="preserve"> agency shop </w:t>
      </w:r>
      <w:r w:rsidRPr="00410BE7">
        <w:rPr>
          <w:sz w:val="26"/>
          <w:szCs w:val="26"/>
        </w:rPr>
        <w:t xml:space="preserve">laws are constitutional.  </w:t>
      </w:r>
      <w:proofErr w:type="spellStart"/>
      <w:r w:rsidRPr="00410BE7">
        <w:rPr>
          <w:i/>
          <w:sz w:val="26"/>
          <w:szCs w:val="26"/>
        </w:rPr>
        <w:t>Abood</w:t>
      </w:r>
      <w:proofErr w:type="spellEnd"/>
      <w:r w:rsidRPr="00410BE7">
        <w:rPr>
          <w:i/>
          <w:sz w:val="26"/>
          <w:szCs w:val="26"/>
        </w:rPr>
        <w:t xml:space="preserve"> v. Detroit Board of Education</w:t>
      </w:r>
      <w:r w:rsidRPr="00410BE7">
        <w:rPr>
          <w:sz w:val="26"/>
          <w:szCs w:val="26"/>
        </w:rPr>
        <w:t>,</w:t>
      </w:r>
      <w:r>
        <w:rPr>
          <w:sz w:val="26"/>
          <w:szCs w:val="26"/>
        </w:rPr>
        <w:t xml:space="preserve"> (1977).  The question in </w:t>
      </w:r>
      <w:r w:rsidRPr="00410BE7">
        <w:rPr>
          <w:i/>
          <w:sz w:val="26"/>
          <w:szCs w:val="26"/>
        </w:rPr>
        <w:t>Janus</w:t>
      </w:r>
      <w:r>
        <w:rPr>
          <w:sz w:val="26"/>
          <w:szCs w:val="26"/>
        </w:rPr>
        <w:t xml:space="preserve"> was whether </w:t>
      </w:r>
      <w:proofErr w:type="spellStart"/>
      <w:r w:rsidRPr="00410BE7">
        <w:rPr>
          <w:i/>
          <w:sz w:val="26"/>
          <w:szCs w:val="26"/>
        </w:rPr>
        <w:t>Abood</w:t>
      </w:r>
      <w:proofErr w:type="spellEnd"/>
      <w:r>
        <w:rPr>
          <w:sz w:val="26"/>
          <w:szCs w:val="26"/>
        </w:rPr>
        <w:t xml:space="preserve"> should be overruled and public-sector </w:t>
      </w:r>
      <w:r w:rsidR="00162254">
        <w:rPr>
          <w:sz w:val="26"/>
          <w:szCs w:val="26"/>
        </w:rPr>
        <w:t xml:space="preserve">union </w:t>
      </w:r>
      <w:r>
        <w:rPr>
          <w:sz w:val="26"/>
          <w:szCs w:val="26"/>
        </w:rPr>
        <w:t xml:space="preserve">agency shop </w:t>
      </w:r>
      <w:r w:rsidR="00D04DF2">
        <w:rPr>
          <w:sz w:val="26"/>
          <w:szCs w:val="26"/>
        </w:rPr>
        <w:t>provisions</w:t>
      </w:r>
      <w:r>
        <w:rPr>
          <w:sz w:val="26"/>
          <w:szCs w:val="26"/>
        </w:rPr>
        <w:t xml:space="preserve"> invalidated</w:t>
      </w:r>
      <w:r w:rsidR="00D04DF2">
        <w:rPr>
          <w:sz w:val="26"/>
          <w:szCs w:val="26"/>
        </w:rPr>
        <w:t>.</w:t>
      </w:r>
    </w:p>
    <w:p w14:paraId="372FDEFE" w14:textId="77777777" w:rsidR="005E13FE" w:rsidRPr="00410BE7" w:rsidRDefault="005E13FE" w:rsidP="005E13FE">
      <w:pPr>
        <w:spacing w:after="0" w:line="240" w:lineRule="auto"/>
        <w:jc w:val="both"/>
        <w:rPr>
          <w:sz w:val="26"/>
          <w:szCs w:val="26"/>
        </w:rPr>
      </w:pPr>
    </w:p>
    <w:p w14:paraId="428A8207" w14:textId="0B21CC64" w:rsidR="005E13FE" w:rsidRDefault="005E13FE" w:rsidP="005E13FE">
      <w:pPr>
        <w:spacing w:after="0" w:line="240" w:lineRule="auto"/>
        <w:jc w:val="both"/>
        <w:rPr>
          <w:sz w:val="26"/>
          <w:szCs w:val="26"/>
        </w:rPr>
      </w:pPr>
      <w:r>
        <w:rPr>
          <w:sz w:val="26"/>
          <w:szCs w:val="26"/>
        </w:rPr>
        <w:t xml:space="preserve">In a sharply divided decision, the Court said yes.  According to the Court, every position the </w:t>
      </w:r>
      <w:r w:rsidR="00D62656">
        <w:rPr>
          <w:sz w:val="26"/>
          <w:szCs w:val="26"/>
        </w:rPr>
        <w:t xml:space="preserve">public employees’ </w:t>
      </w:r>
      <w:r>
        <w:rPr>
          <w:sz w:val="26"/>
          <w:szCs w:val="26"/>
        </w:rPr>
        <w:t xml:space="preserve">union takes in collective bargaining </w:t>
      </w:r>
      <w:r w:rsidR="00D04DF2">
        <w:rPr>
          <w:sz w:val="26"/>
          <w:szCs w:val="26"/>
        </w:rPr>
        <w:t>is “political”</w:t>
      </w:r>
      <w:r>
        <w:rPr>
          <w:sz w:val="26"/>
          <w:szCs w:val="26"/>
        </w:rPr>
        <w:t xml:space="preserve"> because every proposal has financial costs and therefore concerns policy judgments about how best to deploy the limited pool of public agency monies.  </w:t>
      </w:r>
      <w:r w:rsidR="00D62656">
        <w:rPr>
          <w:sz w:val="26"/>
          <w:szCs w:val="26"/>
        </w:rPr>
        <w:t>The Court decided that e</w:t>
      </w:r>
      <w:r>
        <w:rPr>
          <w:sz w:val="26"/>
          <w:szCs w:val="26"/>
        </w:rPr>
        <w:t xml:space="preserve">mployees </w:t>
      </w:r>
      <w:r w:rsidR="00D62656">
        <w:rPr>
          <w:sz w:val="26"/>
          <w:szCs w:val="26"/>
        </w:rPr>
        <w:t>may</w:t>
      </w:r>
      <w:r>
        <w:rPr>
          <w:sz w:val="26"/>
          <w:szCs w:val="26"/>
        </w:rPr>
        <w:t xml:space="preserve"> not be required to subsidize </w:t>
      </w:r>
      <w:r w:rsidR="00162254">
        <w:rPr>
          <w:sz w:val="26"/>
          <w:szCs w:val="26"/>
        </w:rPr>
        <w:t xml:space="preserve">what the Court characterized as </w:t>
      </w:r>
      <w:r w:rsidR="00D04DF2">
        <w:rPr>
          <w:sz w:val="26"/>
          <w:szCs w:val="26"/>
        </w:rPr>
        <w:t xml:space="preserve">political </w:t>
      </w:r>
      <w:r>
        <w:rPr>
          <w:sz w:val="26"/>
          <w:szCs w:val="26"/>
        </w:rPr>
        <w:t xml:space="preserve">speech </w:t>
      </w:r>
      <w:r w:rsidR="00D62656">
        <w:rPr>
          <w:sz w:val="26"/>
          <w:szCs w:val="26"/>
        </w:rPr>
        <w:t xml:space="preserve">– i.e. </w:t>
      </w:r>
      <w:r>
        <w:rPr>
          <w:sz w:val="26"/>
          <w:szCs w:val="26"/>
        </w:rPr>
        <w:t xml:space="preserve">the union’s positions </w:t>
      </w:r>
      <w:r w:rsidR="00162254">
        <w:rPr>
          <w:sz w:val="26"/>
          <w:szCs w:val="26"/>
        </w:rPr>
        <w:t>i</w:t>
      </w:r>
      <w:r>
        <w:rPr>
          <w:sz w:val="26"/>
          <w:szCs w:val="26"/>
        </w:rPr>
        <w:t xml:space="preserve">n </w:t>
      </w:r>
      <w:r w:rsidR="00162254">
        <w:rPr>
          <w:sz w:val="26"/>
          <w:szCs w:val="26"/>
        </w:rPr>
        <w:t>collective bargaining.</w:t>
      </w:r>
      <w:r>
        <w:rPr>
          <w:sz w:val="26"/>
          <w:szCs w:val="26"/>
        </w:rPr>
        <w:t xml:space="preserve"> </w:t>
      </w:r>
      <w:r w:rsidR="00162254">
        <w:rPr>
          <w:sz w:val="26"/>
          <w:szCs w:val="26"/>
        </w:rPr>
        <w:t xml:space="preserve"> T</w:t>
      </w:r>
      <w:r>
        <w:rPr>
          <w:sz w:val="26"/>
          <w:szCs w:val="26"/>
        </w:rPr>
        <w:t xml:space="preserve">hus, state laws that require fees for collective bargaining as a condition of employment </w:t>
      </w:r>
      <w:r w:rsidR="00D04DF2">
        <w:rPr>
          <w:sz w:val="26"/>
          <w:szCs w:val="26"/>
        </w:rPr>
        <w:t>are no longer lawful</w:t>
      </w:r>
      <w:r>
        <w:rPr>
          <w:sz w:val="26"/>
          <w:szCs w:val="26"/>
        </w:rPr>
        <w:t>.</w:t>
      </w:r>
    </w:p>
    <w:p w14:paraId="37D3E228" w14:textId="5697F4B1" w:rsidR="00D04DF2" w:rsidRDefault="00D04DF2" w:rsidP="005E13FE">
      <w:pPr>
        <w:spacing w:after="0" w:line="240" w:lineRule="auto"/>
        <w:jc w:val="both"/>
        <w:rPr>
          <w:sz w:val="26"/>
          <w:szCs w:val="26"/>
        </w:rPr>
      </w:pPr>
    </w:p>
    <w:p w14:paraId="1E93142D" w14:textId="13E683F5" w:rsidR="00D04DF2" w:rsidRPr="00220842" w:rsidRDefault="00D04DF2" w:rsidP="005E13FE">
      <w:pPr>
        <w:spacing w:after="0" w:line="240" w:lineRule="auto"/>
        <w:jc w:val="both"/>
        <w:rPr>
          <w:sz w:val="26"/>
          <w:szCs w:val="26"/>
        </w:rPr>
      </w:pPr>
      <w:r>
        <w:rPr>
          <w:sz w:val="26"/>
          <w:szCs w:val="26"/>
        </w:rPr>
        <w:lastRenderedPageBreak/>
        <w:t>The Court’s decision now allows for “Free-Riders” – people who decline membership and refuse to pay dues to support the organization</w:t>
      </w:r>
      <w:r w:rsidR="00690250">
        <w:rPr>
          <w:sz w:val="26"/>
          <w:szCs w:val="26"/>
        </w:rPr>
        <w:t xml:space="preserve">, yet still </w:t>
      </w:r>
      <w:r w:rsidR="00162254">
        <w:rPr>
          <w:sz w:val="26"/>
          <w:szCs w:val="26"/>
        </w:rPr>
        <w:t>get</w:t>
      </w:r>
      <w:r w:rsidR="00690250">
        <w:rPr>
          <w:sz w:val="26"/>
          <w:szCs w:val="26"/>
        </w:rPr>
        <w:t xml:space="preserve"> the gains that the organization </w:t>
      </w:r>
      <w:r w:rsidR="00EB2A1F">
        <w:rPr>
          <w:sz w:val="26"/>
          <w:szCs w:val="26"/>
        </w:rPr>
        <w:t xml:space="preserve">earns </w:t>
      </w:r>
      <w:r>
        <w:rPr>
          <w:sz w:val="26"/>
          <w:szCs w:val="26"/>
        </w:rPr>
        <w:t xml:space="preserve">at the collective bargaining table.  The Court said the </w:t>
      </w:r>
      <w:r w:rsidR="00D62656">
        <w:rPr>
          <w:sz w:val="26"/>
          <w:szCs w:val="26"/>
        </w:rPr>
        <w:t>F</w:t>
      </w:r>
      <w:r w:rsidR="00EB2A1F">
        <w:rPr>
          <w:sz w:val="26"/>
          <w:szCs w:val="26"/>
        </w:rPr>
        <w:t xml:space="preserve">ree </w:t>
      </w:r>
      <w:r w:rsidR="00D62656">
        <w:rPr>
          <w:sz w:val="26"/>
          <w:szCs w:val="26"/>
        </w:rPr>
        <w:t>R</w:t>
      </w:r>
      <w:r w:rsidR="00EB2A1F">
        <w:rPr>
          <w:sz w:val="26"/>
          <w:szCs w:val="26"/>
        </w:rPr>
        <w:t>iders are still covered by the MOU even though they don’t contribute to the costs.</w:t>
      </w:r>
      <w:r w:rsidR="00162254">
        <w:rPr>
          <w:sz w:val="26"/>
          <w:szCs w:val="26"/>
        </w:rPr>
        <w:t xml:space="preserve">  The Court said </w:t>
      </w:r>
      <w:r w:rsidR="00DB52E2">
        <w:rPr>
          <w:sz w:val="26"/>
          <w:szCs w:val="26"/>
        </w:rPr>
        <w:t xml:space="preserve">the existence of </w:t>
      </w:r>
      <w:r w:rsidR="00162254">
        <w:rPr>
          <w:sz w:val="26"/>
          <w:szCs w:val="26"/>
        </w:rPr>
        <w:t>Free-Riders is not enough of a concern to justify Agency Fees.</w:t>
      </w:r>
      <w:r w:rsidR="00DB52E2">
        <w:rPr>
          <w:sz w:val="26"/>
          <w:szCs w:val="26"/>
        </w:rPr>
        <w:t xml:space="preserve">  As a result, organizations will no longer be able to use Agency Shop to protect members from these “Free-Riders.”</w:t>
      </w:r>
      <w:r>
        <w:rPr>
          <w:sz w:val="26"/>
          <w:szCs w:val="26"/>
        </w:rPr>
        <w:t xml:space="preserve"> </w:t>
      </w:r>
    </w:p>
    <w:p w14:paraId="56AB1285" w14:textId="77777777" w:rsidR="005E13FE" w:rsidRPr="00220842" w:rsidRDefault="005E13FE" w:rsidP="005E13FE">
      <w:pPr>
        <w:spacing w:after="0" w:line="240" w:lineRule="auto"/>
        <w:jc w:val="both"/>
        <w:rPr>
          <w:sz w:val="26"/>
          <w:szCs w:val="26"/>
        </w:rPr>
      </w:pPr>
    </w:p>
    <w:p w14:paraId="75B5B3B6" w14:textId="4BB1FF0D" w:rsidR="00D04DF2" w:rsidRDefault="005E13FE" w:rsidP="005E13FE">
      <w:pPr>
        <w:spacing w:after="0" w:line="240" w:lineRule="auto"/>
        <w:jc w:val="both"/>
        <w:rPr>
          <w:sz w:val="26"/>
          <w:szCs w:val="26"/>
        </w:rPr>
      </w:pPr>
      <w:r>
        <w:rPr>
          <w:sz w:val="26"/>
          <w:szCs w:val="26"/>
        </w:rPr>
        <w:t xml:space="preserve">The </w:t>
      </w:r>
      <w:r w:rsidR="00D62656" w:rsidRPr="00D62656">
        <w:rPr>
          <w:i/>
          <w:sz w:val="26"/>
          <w:szCs w:val="26"/>
        </w:rPr>
        <w:t>Janus</w:t>
      </w:r>
      <w:r w:rsidR="00D62656">
        <w:rPr>
          <w:sz w:val="26"/>
          <w:szCs w:val="26"/>
        </w:rPr>
        <w:t xml:space="preserve"> </w:t>
      </w:r>
      <w:r w:rsidR="00EB2A1F">
        <w:rPr>
          <w:sz w:val="26"/>
          <w:szCs w:val="26"/>
        </w:rPr>
        <w:t xml:space="preserve">decision </w:t>
      </w:r>
      <w:r>
        <w:rPr>
          <w:sz w:val="26"/>
          <w:szCs w:val="26"/>
        </w:rPr>
        <w:t>d</w:t>
      </w:r>
      <w:r w:rsidR="00EB2A1F">
        <w:rPr>
          <w:sz w:val="26"/>
          <w:szCs w:val="26"/>
        </w:rPr>
        <w:t>oes</w:t>
      </w:r>
      <w:r>
        <w:rPr>
          <w:sz w:val="26"/>
          <w:szCs w:val="26"/>
        </w:rPr>
        <w:t xml:space="preserve"> not affect union-security clauses</w:t>
      </w:r>
      <w:r w:rsidR="00DB52E2">
        <w:rPr>
          <w:sz w:val="26"/>
          <w:szCs w:val="26"/>
        </w:rPr>
        <w:t>,</w:t>
      </w:r>
      <w:r>
        <w:rPr>
          <w:sz w:val="26"/>
          <w:szCs w:val="26"/>
        </w:rPr>
        <w:t xml:space="preserve"> such as maintenance of membership provisions</w:t>
      </w:r>
      <w:r w:rsidR="00EB2A1F">
        <w:rPr>
          <w:sz w:val="26"/>
          <w:szCs w:val="26"/>
        </w:rPr>
        <w:t>.</w:t>
      </w:r>
      <w:r>
        <w:rPr>
          <w:sz w:val="26"/>
          <w:szCs w:val="26"/>
        </w:rPr>
        <w:t xml:space="preserve"> </w:t>
      </w:r>
      <w:r w:rsidR="00EB2A1F">
        <w:rPr>
          <w:sz w:val="26"/>
          <w:szCs w:val="26"/>
        </w:rPr>
        <w:t xml:space="preserve"> These </w:t>
      </w:r>
      <w:r>
        <w:rPr>
          <w:sz w:val="26"/>
          <w:szCs w:val="26"/>
        </w:rPr>
        <w:t xml:space="preserve">require employees to maintain membership for a designated period if they do not opt-out during a window period.  </w:t>
      </w:r>
      <w:r w:rsidR="00162254">
        <w:rPr>
          <w:sz w:val="26"/>
          <w:szCs w:val="26"/>
        </w:rPr>
        <w:t xml:space="preserve">After </w:t>
      </w:r>
      <w:r w:rsidR="00EB2A1F" w:rsidRPr="00162254">
        <w:rPr>
          <w:i/>
          <w:sz w:val="26"/>
          <w:szCs w:val="26"/>
        </w:rPr>
        <w:t>Janus</w:t>
      </w:r>
      <w:r w:rsidR="00EB2A1F">
        <w:rPr>
          <w:sz w:val="26"/>
          <w:szCs w:val="26"/>
        </w:rPr>
        <w:t xml:space="preserve">, every </w:t>
      </w:r>
      <w:r w:rsidR="005B49DD">
        <w:rPr>
          <w:sz w:val="26"/>
          <w:szCs w:val="26"/>
        </w:rPr>
        <w:t>employee organization</w:t>
      </w:r>
      <w:r>
        <w:rPr>
          <w:sz w:val="26"/>
          <w:szCs w:val="26"/>
        </w:rPr>
        <w:t xml:space="preserve"> </w:t>
      </w:r>
      <w:r w:rsidR="00EB2A1F">
        <w:rPr>
          <w:sz w:val="26"/>
          <w:szCs w:val="26"/>
        </w:rPr>
        <w:t xml:space="preserve">should </w:t>
      </w:r>
      <w:r>
        <w:rPr>
          <w:sz w:val="26"/>
          <w:szCs w:val="26"/>
        </w:rPr>
        <w:t xml:space="preserve">use these clauses, and aggressive outreach to new employees, to preserve </w:t>
      </w:r>
      <w:r w:rsidR="00D62656">
        <w:rPr>
          <w:sz w:val="26"/>
          <w:szCs w:val="26"/>
        </w:rPr>
        <w:t>power</w:t>
      </w:r>
      <w:r>
        <w:rPr>
          <w:sz w:val="26"/>
          <w:szCs w:val="26"/>
        </w:rPr>
        <w:t xml:space="preserve"> </w:t>
      </w:r>
      <w:r w:rsidR="00EB2A1F">
        <w:rPr>
          <w:sz w:val="26"/>
          <w:szCs w:val="26"/>
        </w:rPr>
        <w:t>and</w:t>
      </w:r>
      <w:r>
        <w:rPr>
          <w:sz w:val="26"/>
          <w:szCs w:val="26"/>
        </w:rPr>
        <w:t xml:space="preserve"> help offset the </w:t>
      </w:r>
      <w:r w:rsidR="005B49DD">
        <w:rPr>
          <w:sz w:val="26"/>
          <w:szCs w:val="26"/>
        </w:rPr>
        <w:t>organization</w:t>
      </w:r>
      <w:r>
        <w:rPr>
          <w:sz w:val="26"/>
          <w:szCs w:val="26"/>
        </w:rPr>
        <w:t xml:space="preserve">’s costs </w:t>
      </w:r>
      <w:r w:rsidRPr="00410BE7">
        <w:rPr>
          <w:sz w:val="26"/>
          <w:szCs w:val="26"/>
        </w:rPr>
        <w:t>for collective bargaining</w:t>
      </w:r>
      <w:r>
        <w:rPr>
          <w:sz w:val="26"/>
          <w:szCs w:val="26"/>
        </w:rPr>
        <w:t>.</w:t>
      </w:r>
      <w:r w:rsidR="00162254">
        <w:rPr>
          <w:sz w:val="26"/>
          <w:szCs w:val="26"/>
        </w:rPr>
        <w:t xml:space="preserve">  Experience shows that unions who can afford to pay for professional staff at the bargaining table often earn better pay and benefit packages then unrepresented and non-union workforces.</w:t>
      </w:r>
      <w:r w:rsidR="00D62656">
        <w:rPr>
          <w:sz w:val="26"/>
          <w:szCs w:val="26"/>
        </w:rPr>
        <w:t xml:space="preserve">  According to a recent Illinois Economic Policy Institute report, </w:t>
      </w:r>
      <w:r w:rsidR="005B49DD">
        <w:rPr>
          <w:sz w:val="26"/>
          <w:szCs w:val="26"/>
        </w:rPr>
        <w:t xml:space="preserve">the wages of state and local government employees may decrease by 3.6% on average, resulting in a $1,810 loss in wage and salary per worker, because of the </w:t>
      </w:r>
      <w:r w:rsidR="005B49DD" w:rsidRPr="00D62656">
        <w:rPr>
          <w:i/>
          <w:sz w:val="26"/>
          <w:szCs w:val="26"/>
        </w:rPr>
        <w:t>Janus</w:t>
      </w:r>
      <w:r w:rsidR="005B49DD">
        <w:rPr>
          <w:sz w:val="26"/>
          <w:szCs w:val="26"/>
        </w:rPr>
        <w:t xml:space="preserve"> decision.</w:t>
      </w:r>
    </w:p>
    <w:p w14:paraId="155FB0A1" w14:textId="1307BD39" w:rsidR="00EB2A1F" w:rsidRDefault="00EB2A1F" w:rsidP="005E13FE">
      <w:pPr>
        <w:spacing w:after="0" w:line="240" w:lineRule="auto"/>
        <w:jc w:val="both"/>
        <w:rPr>
          <w:sz w:val="26"/>
          <w:szCs w:val="26"/>
        </w:rPr>
      </w:pPr>
    </w:p>
    <w:p w14:paraId="43F2952D" w14:textId="0D38105C" w:rsidR="00EB2A1F" w:rsidRDefault="00EB2A1F" w:rsidP="00EB2A1F">
      <w:pPr>
        <w:spacing w:after="0" w:line="240" w:lineRule="auto"/>
        <w:jc w:val="both"/>
        <w:rPr>
          <w:sz w:val="26"/>
          <w:szCs w:val="26"/>
        </w:rPr>
      </w:pPr>
      <w:r>
        <w:rPr>
          <w:sz w:val="26"/>
          <w:szCs w:val="26"/>
        </w:rPr>
        <w:t xml:space="preserve">In the wake of </w:t>
      </w:r>
      <w:r w:rsidRPr="00EB2A1F">
        <w:rPr>
          <w:i/>
          <w:sz w:val="26"/>
          <w:szCs w:val="26"/>
        </w:rPr>
        <w:t>Janus</w:t>
      </w:r>
      <w:r>
        <w:rPr>
          <w:sz w:val="26"/>
          <w:szCs w:val="26"/>
        </w:rPr>
        <w:t xml:space="preserve">, the </w:t>
      </w:r>
      <w:r w:rsidR="005B49DD">
        <w:rPr>
          <w:sz w:val="26"/>
          <w:szCs w:val="26"/>
        </w:rPr>
        <w:t>bargaining unit</w:t>
      </w:r>
      <w:r>
        <w:rPr>
          <w:sz w:val="26"/>
          <w:szCs w:val="26"/>
        </w:rPr>
        <w:t xml:space="preserve"> is now made up of only members </w:t>
      </w:r>
      <w:r w:rsidR="005A1ADD">
        <w:rPr>
          <w:sz w:val="26"/>
          <w:szCs w:val="26"/>
        </w:rPr>
        <w:t>and</w:t>
      </w:r>
      <w:r>
        <w:rPr>
          <w:sz w:val="26"/>
          <w:szCs w:val="26"/>
        </w:rPr>
        <w:t xml:space="preserve"> non-members.  The Association must represent all employees in collective bargaining, but that doesn’t mean th</w:t>
      </w:r>
      <w:r w:rsidR="00DB52E2">
        <w:rPr>
          <w:sz w:val="26"/>
          <w:szCs w:val="26"/>
        </w:rPr>
        <w:t>at</w:t>
      </w:r>
      <w:r w:rsidR="00162254">
        <w:rPr>
          <w:sz w:val="26"/>
          <w:szCs w:val="26"/>
        </w:rPr>
        <w:t xml:space="preserve"> </w:t>
      </w:r>
      <w:r w:rsidR="00DB52E2">
        <w:rPr>
          <w:sz w:val="26"/>
          <w:szCs w:val="26"/>
        </w:rPr>
        <w:t xml:space="preserve">a </w:t>
      </w:r>
      <w:r w:rsidR="00162254">
        <w:rPr>
          <w:sz w:val="26"/>
          <w:szCs w:val="26"/>
        </w:rPr>
        <w:t>non-member</w:t>
      </w:r>
      <w:r w:rsidR="00DB52E2">
        <w:rPr>
          <w:sz w:val="26"/>
          <w:szCs w:val="26"/>
        </w:rPr>
        <w:t>’</w:t>
      </w:r>
      <w:r w:rsidR="00162254">
        <w:rPr>
          <w:sz w:val="26"/>
          <w:szCs w:val="26"/>
        </w:rPr>
        <w:t xml:space="preserve">s </w:t>
      </w:r>
      <w:r w:rsidR="005A1ADD">
        <w:rPr>
          <w:sz w:val="26"/>
          <w:szCs w:val="26"/>
        </w:rPr>
        <w:t>“</w:t>
      </w:r>
      <w:r>
        <w:rPr>
          <w:sz w:val="26"/>
          <w:szCs w:val="26"/>
        </w:rPr>
        <w:t>free ride</w:t>
      </w:r>
      <w:r w:rsidR="005A1ADD">
        <w:rPr>
          <w:sz w:val="26"/>
          <w:szCs w:val="26"/>
        </w:rPr>
        <w:t>”</w:t>
      </w:r>
      <w:r>
        <w:rPr>
          <w:sz w:val="26"/>
          <w:szCs w:val="26"/>
        </w:rPr>
        <w:t xml:space="preserve"> </w:t>
      </w:r>
      <w:r w:rsidR="005A1ADD">
        <w:rPr>
          <w:sz w:val="26"/>
          <w:szCs w:val="26"/>
        </w:rPr>
        <w:t xml:space="preserve">still </w:t>
      </w:r>
      <w:r>
        <w:rPr>
          <w:sz w:val="26"/>
          <w:szCs w:val="26"/>
        </w:rPr>
        <w:t xml:space="preserve">includes the </w:t>
      </w:r>
      <w:r w:rsidR="000B784A">
        <w:rPr>
          <w:sz w:val="26"/>
          <w:szCs w:val="26"/>
        </w:rPr>
        <w:t xml:space="preserve">full </w:t>
      </w:r>
      <w:r>
        <w:rPr>
          <w:sz w:val="26"/>
          <w:szCs w:val="26"/>
        </w:rPr>
        <w:t>benefits of membership, such as:</w:t>
      </w:r>
    </w:p>
    <w:p w14:paraId="4F86F779" w14:textId="77777777" w:rsidR="005A1ADD" w:rsidRDefault="005A1ADD" w:rsidP="00EB2A1F">
      <w:pPr>
        <w:spacing w:after="0" w:line="240" w:lineRule="auto"/>
        <w:jc w:val="both"/>
        <w:rPr>
          <w:sz w:val="26"/>
          <w:szCs w:val="26"/>
        </w:rPr>
      </w:pPr>
    </w:p>
    <w:p w14:paraId="59F76ACF" w14:textId="77777777" w:rsidR="005A1ADD" w:rsidRDefault="005A1ADD" w:rsidP="005A1ADD">
      <w:pPr>
        <w:pStyle w:val="ListParagraph"/>
        <w:numPr>
          <w:ilvl w:val="0"/>
          <w:numId w:val="7"/>
        </w:numPr>
        <w:spacing w:after="0" w:line="240" w:lineRule="auto"/>
        <w:jc w:val="both"/>
        <w:rPr>
          <w:sz w:val="26"/>
          <w:szCs w:val="26"/>
        </w:rPr>
      </w:pPr>
      <w:r>
        <w:rPr>
          <w:sz w:val="26"/>
          <w:szCs w:val="26"/>
        </w:rPr>
        <w:t>V</w:t>
      </w:r>
      <w:r w:rsidR="00EB2A1F" w:rsidRPr="005A1ADD">
        <w:rPr>
          <w:sz w:val="26"/>
          <w:szCs w:val="26"/>
        </w:rPr>
        <w:t>oting on the MOU and other internal business</w:t>
      </w:r>
    </w:p>
    <w:p w14:paraId="2F9B898B" w14:textId="77777777" w:rsidR="005A1ADD" w:rsidRDefault="005A1ADD" w:rsidP="005A1ADD">
      <w:pPr>
        <w:pStyle w:val="ListParagraph"/>
        <w:numPr>
          <w:ilvl w:val="0"/>
          <w:numId w:val="7"/>
        </w:numPr>
        <w:spacing w:after="0" w:line="240" w:lineRule="auto"/>
        <w:jc w:val="both"/>
        <w:rPr>
          <w:sz w:val="26"/>
          <w:szCs w:val="26"/>
        </w:rPr>
      </w:pPr>
      <w:r>
        <w:rPr>
          <w:sz w:val="26"/>
          <w:szCs w:val="26"/>
        </w:rPr>
        <w:t>H</w:t>
      </w:r>
      <w:r w:rsidR="00EB2A1F" w:rsidRPr="005A1ADD">
        <w:rPr>
          <w:sz w:val="26"/>
          <w:szCs w:val="26"/>
        </w:rPr>
        <w:t xml:space="preserve">olding officer </w:t>
      </w:r>
      <w:r>
        <w:rPr>
          <w:sz w:val="26"/>
          <w:szCs w:val="26"/>
        </w:rPr>
        <w:t xml:space="preserve">and board </w:t>
      </w:r>
      <w:r w:rsidR="00EB2A1F" w:rsidRPr="005A1ADD">
        <w:rPr>
          <w:sz w:val="26"/>
          <w:szCs w:val="26"/>
        </w:rPr>
        <w:t>positions or serving on the bargaining team</w:t>
      </w:r>
    </w:p>
    <w:p w14:paraId="3CAE0B6D" w14:textId="69118889" w:rsidR="00EB2A1F" w:rsidRPr="005A1ADD" w:rsidRDefault="005A1ADD" w:rsidP="005A1ADD">
      <w:pPr>
        <w:pStyle w:val="ListParagraph"/>
        <w:numPr>
          <w:ilvl w:val="0"/>
          <w:numId w:val="7"/>
        </w:numPr>
        <w:spacing w:after="0" w:line="240" w:lineRule="auto"/>
        <w:jc w:val="both"/>
        <w:rPr>
          <w:sz w:val="26"/>
          <w:szCs w:val="26"/>
        </w:rPr>
      </w:pPr>
      <w:r>
        <w:rPr>
          <w:sz w:val="26"/>
          <w:szCs w:val="26"/>
        </w:rPr>
        <w:t xml:space="preserve">Accessing </w:t>
      </w:r>
      <w:r w:rsidR="00EB2A1F" w:rsidRPr="005A1ADD">
        <w:rPr>
          <w:sz w:val="26"/>
          <w:szCs w:val="26"/>
        </w:rPr>
        <w:t>“Members-Only” paid services</w:t>
      </w:r>
    </w:p>
    <w:p w14:paraId="54D8C032" w14:textId="2972ED7E" w:rsidR="005A1ADD" w:rsidRDefault="00162254" w:rsidP="00EB2A1F">
      <w:pPr>
        <w:pStyle w:val="ListParagraph"/>
        <w:numPr>
          <w:ilvl w:val="0"/>
          <w:numId w:val="7"/>
        </w:numPr>
        <w:spacing w:after="0" w:line="240" w:lineRule="auto"/>
        <w:jc w:val="both"/>
        <w:rPr>
          <w:sz w:val="26"/>
          <w:szCs w:val="26"/>
        </w:rPr>
      </w:pPr>
      <w:r>
        <w:rPr>
          <w:sz w:val="26"/>
          <w:szCs w:val="26"/>
        </w:rPr>
        <w:t>Paid p</w:t>
      </w:r>
      <w:r w:rsidR="00EB2A1F" w:rsidRPr="00EB2A1F">
        <w:rPr>
          <w:sz w:val="26"/>
          <w:szCs w:val="26"/>
        </w:rPr>
        <w:t xml:space="preserve">rofessional representation by </w:t>
      </w:r>
      <w:r>
        <w:rPr>
          <w:sz w:val="26"/>
          <w:szCs w:val="26"/>
        </w:rPr>
        <w:t>skilled</w:t>
      </w:r>
      <w:r w:rsidR="00EB2A1F" w:rsidRPr="00EB2A1F">
        <w:rPr>
          <w:sz w:val="26"/>
          <w:szCs w:val="26"/>
        </w:rPr>
        <w:t xml:space="preserve"> staff</w:t>
      </w:r>
    </w:p>
    <w:p w14:paraId="512B8D35" w14:textId="77777777" w:rsidR="005A1ADD" w:rsidRDefault="005A1ADD" w:rsidP="00EB2A1F">
      <w:pPr>
        <w:pStyle w:val="ListParagraph"/>
        <w:numPr>
          <w:ilvl w:val="0"/>
          <w:numId w:val="7"/>
        </w:numPr>
        <w:spacing w:after="0" w:line="240" w:lineRule="auto"/>
        <w:jc w:val="both"/>
        <w:rPr>
          <w:sz w:val="26"/>
          <w:szCs w:val="26"/>
        </w:rPr>
      </w:pPr>
      <w:r>
        <w:rPr>
          <w:sz w:val="26"/>
          <w:szCs w:val="26"/>
        </w:rPr>
        <w:t xml:space="preserve">Monthly </w:t>
      </w:r>
      <w:r w:rsidR="00EB2A1F" w:rsidRPr="00EB2A1F">
        <w:rPr>
          <w:sz w:val="26"/>
          <w:szCs w:val="26"/>
        </w:rPr>
        <w:t>newsletter</w:t>
      </w:r>
    </w:p>
    <w:p w14:paraId="533377A3" w14:textId="77777777" w:rsidR="005A1ADD" w:rsidRDefault="005A1ADD" w:rsidP="00EB2A1F">
      <w:pPr>
        <w:pStyle w:val="ListParagraph"/>
        <w:numPr>
          <w:ilvl w:val="0"/>
          <w:numId w:val="7"/>
        </w:numPr>
        <w:spacing w:after="0" w:line="240" w:lineRule="auto"/>
        <w:jc w:val="both"/>
        <w:rPr>
          <w:sz w:val="26"/>
          <w:szCs w:val="26"/>
        </w:rPr>
      </w:pPr>
      <w:r>
        <w:rPr>
          <w:sz w:val="26"/>
          <w:szCs w:val="26"/>
        </w:rPr>
        <w:t>Workers Compensation legal referrals</w:t>
      </w:r>
    </w:p>
    <w:p w14:paraId="4D0ADA9F" w14:textId="20E6DDBE" w:rsidR="005A1ADD" w:rsidRDefault="005A1ADD" w:rsidP="00EB2A1F">
      <w:pPr>
        <w:pStyle w:val="ListParagraph"/>
        <w:numPr>
          <w:ilvl w:val="0"/>
          <w:numId w:val="7"/>
        </w:numPr>
        <w:spacing w:after="0" w:line="240" w:lineRule="auto"/>
        <w:jc w:val="both"/>
        <w:rPr>
          <w:sz w:val="26"/>
          <w:szCs w:val="26"/>
        </w:rPr>
      </w:pPr>
      <w:r>
        <w:rPr>
          <w:sz w:val="26"/>
          <w:szCs w:val="26"/>
        </w:rPr>
        <w:t>N</w:t>
      </w:r>
      <w:r w:rsidR="00EB2A1F" w:rsidRPr="00EB2A1F">
        <w:rPr>
          <w:sz w:val="26"/>
          <w:szCs w:val="26"/>
        </w:rPr>
        <w:t xml:space="preserve">on-labor legal referrals </w:t>
      </w:r>
      <w:r>
        <w:rPr>
          <w:sz w:val="26"/>
          <w:szCs w:val="26"/>
        </w:rPr>
        <w:t xml:space="preserve">– free consultation (up to two hours) </w:t>
      </w:r>
      <w:r w:rsidR="00EB2A1F" w:rsidRPr="00EB2A1F">
        <w:rPr>
          <w:sz w:val="26"/>
          <w:szCs w:val="26"/>
        </w:rPr>
        <w:t>and discounted rates for</w:t>
      </w:r>
      <w:r>
        <w:rPr>
          <w:sz w:val="26"/>
          <w:szCs w:val="26"/>
        </w:rPr>
        <w:t xml:space="preserve"> small claims, family law, estate planning, taxation, personal injury, real property, DMV hearings, unemployment insurance hearings, etc.</w:t>
      </w:r>
    </w:p>
    <w:p w14:paraId="2AF2F80B" w14:textId="40FDAAAB" w:rsidR="00EB2A1F" w:rsidRDefault="005A1ADD" w:rsidP="00EB2A1F">
      <w:pPr>
        <w:pStyle w:val="ListParagraph"/>
        <w:numPr>
          <w:ilvl w:val="0"/>
          <w:numId w:val="7"/>
        </w:numPr>
        <w:spacing w:after="0" w:line="240" w:lineRule="auto"/>
        <w:jc w:val="both"/>
        <w:rPr>
          <w:sz w:val="26"/>
          <w:szCs w:val="26"/>
        </w:rPr>
      </w:pPr>
      <w:r>
        <w:rPr>
          <w:sz w:val="26"/>
          <w:szCs w:val="26"/>
        </w:rPr>
        <w:t>Access to digital archive of useful articles on labor and employment questions</w:t>
      </w:r>
    </w:p>
    <w:p w14:paraId="5E894759" w14:textId="52BACF50" w:rsidR="005A1ADD" w:rsidRDefault="005A1ADD" w:rsidP="00EB2A1F">
      <w:pPr>
        <w:pStyle w:val="ListParagraph"/>
        <w:numPr>
          <w:ilvl w:val="0"/>
          <w:numId w:val="7"/>
        </w:numPr>
        <w:spacing w:after="0" w:line="240" w:lineRule="auto"/>
        <w:jc w:val="both"/>
        <w:rPr>
          <w:sz w:val="26"/>
          <w:szCs w:val="26"/>
        </w:rPr>
      </w:pPr>
      <w:r>
        <w:rPr>
          <w:sz w:val="26"/>
          <w:szCs w:val="26"/>
        </w:rPr>
        <w:t>Group insurance benefits from an outside agent</w:t>
      </w:r>
    </w:p>
    <w:p w14:paraId="63B01224" w14:textId="7DA2F1D1" w:rsidR="005A1ADD" w:rsidRPr="00EB2A1F" w:rsidRDefault="005A1ADD" w:rsidP="00EB2A1F">
      <w:pPr>
        <w:pStyle w:val="ListParagraph"/>
        <w:numPr>
          <w:ilvl w:val="0"/>
          <w:numId w:val="7"/>
        </w:numPr>
        <w:spacing w:after="0" w:line="240" w:lineRule="auto"/>
        <w:jc w:val="both"/>
        <w:rPr>
          <w:sz w:val="26"/>
          <w:szCs w:val="26"/>
        </w:rPr>
      </w:pPr>
      <w:r>
        <w:rPr>
          <w:sz w:val="26"/>
          <w:szCs w:val="26"/>
        </w:rPr>
        <w:t>Discounts with real estate brokers for buying, selling, or refinancing</w:t>
      </w:r>
    </w:p>
    <w:p w14:paraId="62BC4A2A" w14:textId="6C7613FB" w:rsidR="00EB2A1F" w:rsidRDefault="00EB2A1F" w:rsidP="00EB2A1F">
      <w:pPr>
        <w:spacing w:after="0" w:line="240" w:lineRule="auto"/>
        <w:jc w:val="both"/>
        <w:rPr>
          <w:sz w:val="26"/>
          <w:szCs w:val="26"/>
        </w:rPr>
      </w:pPr>
    </w:p>
    <w:p w14:paraId="0DF276F1" w14:textId="5367E35C" w:rsidR="00D04DF2" w:rsidRDefault="00162254" w:rsidP="00EB2A1F">
      <w:pPr>
        <w:spacing w:after="0" w:line="240" w:lineRule="auto"/>
        <w:jc w:val="both"/>
        <w:rPr>
          <w:sz w:val="26"/>
          <w:szCs w:val="26"/>
        </w:rPr>
      </w:pPr>
      <w:r>
        <w:rPr>
          <w:sz w:val="26"/>
          <w:szCs w:val="26"/>
        </w:rPr>
        <w:t xml:space="preserve">Organizations </w:t>
      </w:r>
      <w:r w:rsidR="00B54CD4">
        <w:rPr>
          <w:sz w:val="26"/>
          <w:szCs w:val="26"/>
        </w:rPr>
        <w:t xml:space="preserve">can reserve these membership benefits to members-only.  They </w:t>
      </w:r>
      <w:r>
        <w:rPr>
          <w:sz w:val="26"/>
          <w:szCs w:val="26"/>
        </w:rPr>
        <w:t>may also ask non-members to pay a service fee if they want professional staff to represent them in discipline cases and investigatory meetings</w:t>
      </w:r>
      <w:r w:rsidR="00970D99">
        <w:rPr>
          <w:sz w:val="26"/>
          <w:szCs w:val="26"/>
        </w:rPr>
        <w:t>, and the</w:t>
      </w:r>
      <w:r w:rsidR="00B54CD4">
        <w:rPr>
          <w:sz w:val="26"/>
          <w:szCs w:val="26"/>
        </w:rPr>
        <w:t xml:space="preserve"> non-member</w:t>
      </w:r>
      <w:r w:rsidR="00970D99">
        <w:rPr>
          <w:sz w:val="26"/>
          <w:szCs w:val="26"/>
        </w:rPr>
        <w:t xml:space="preserve"> may have to pay costs </w:t>
      </w:r>
      <w:r w:rsidR="00970D99">
        <w:rPr>
          <w:sz w:val="26"/>
          <w:szCs w:val="26"/>
        </w:rPr>
        <w:lastRenderedPageBreak/>
        <w:t>– such as arbitration fees – if they want to make full use of the grievance procedure.  Professional staff can run $300 per hour or more and arbitration fees can be thousands.</w:t>
      </w:r>
    </w:p>
    <w:p w14:paraId="538A262C" w14:textId="77777777" w:rsidR="007F4628" w:rsidRDefault="007F4628" w:rsidP="00EB2A1F">
      <w:pPr>
        <w:spacing w:after="0" w:line="240" w:lineRule="auto"/>
        <w:jc w:val="both"/>
        <w:rPr>
          <w:sz w:val="26"/>
          <w:szCs w:val="26"/>
        </w:rPr>
      </w:pPr>
    </w:p>
    <w:p w14:paraId="44CE9BBB" w14:textId="5F080639" w:rsidR="00636323" w:rsidRPr="00875605" w:rsidRDefault="00636323" w:rsidP="00636323">
      <w:pPr>
        <w:shd w:val="clear" w:color="auto" w:fill="FFFFFF"/>
        <w:spacing w:before="360" w:after="60" w:line="240" w:lineRule="auto"/>
        <w:ind w:left="180" w:right="-90"/>
        <w:contextualSpacing/>
        <w:jc w:val="center"/>
        <w:rPr>
          <w:rFonts w:ascii="Calibri" w:eastAsia="Calibri" w:hAnsi="Calibri" w:cs="Times New Roman"/>
          <w:b/>
          <w:i/>
          <w:sz w:val="40"/>
          <w:szCs w:val="40"/>
          <w:u w:val="single"/>
        </w:rPr>
      </w:pPr>
      <w:r w:rsidRPr="00875605">
        <w:rPr>
          <w:rFonts w:ascii="Calibri" w:eastAsia="Calibri" w:hAnsi="Calibri" w:cs="Times New Roman"/>
          <w:b/>
          <w:i/>
          <w:sz w:val="40"/>
          <w:szCs w:val="40"/>
          <w:u w:val="single"/>
        </w:rPr>
        <w:t>News Release - CPI Increases!</w:t>
      </w:r>
    </w:p>
    <w:p w14:paraId="2D0CB171" w14:textId="77777777" w:rsidR="00EC3FF8" w:rsidRPr="00EC3FF8" w:rsidRDefault="00EC3FF8" w:rsidP="00EC3FF8">
      <w:pPr>
        <w:shd w:val="clear" w:color="auto" w:fill="FFFFFF"/>
        <w:spacing w:before="360" w:after="60" w:line="240" w:lineRule="auto"/>
        <w:ind w:left="180" w:right="-90"/>
        <w:contextualSpacing/>
        <w:jc w:val="both"/>
        <w:rPr>
          <w:rFonts w:ascii="Calibri" w:eastAsia="Calibri" w:hAnsi="Calibri" w:cs="Times New Roman"/>
          <w:sz w:val="28"/>
          <w:szCs w:val="28"/>
        </w:rPr>
      </w:pPr>
    </w:p>
    <w:p w14:paraId="5B001331" w14:textId="4628A5A9" w:rsidR="00EC3FF8" w:rsidRPr="00920B5B" w:rsidRDefault="00EC3FF8" w:rsidP="005E13FE">
      <w:pPr>
        <w:shd w:val="clear" w:color="auto" w:fill="FFFFFF"/>
        <w:spacing w:after="0" w:line="240" w:lineRule="auto"/>
        <w:ind w:left="187" w:right="-86"/>
        <w:contextualSpacing/>
        <w:jc w:val="both"/>
        <w:rPr>
          <w:rFonts w:ascii="Calibri" w:eastAsia="Calibri" w:hAnsi="Calibri" w:cs="Times New Roman"/>
          <w:sz w:val="26"/>
          <w:szCs w:val="26"/>
        </w:rPr>
      </w:pPr>
      <w:r w:rsidRPr="00920B5B">
        <w:rPr>
          <w:rFonts w:ascii="Calibri" w:eastAsia="Calibri" w:hAnsi="Calibri" w:cs="Times New Roman"/>
          <w:sz w:val="26"/>
          <w:szCs w:val="26"/>
        </w:rPr>
        <w:t xml:space="preserve">Each month the U.S. Department of Labor, Bureau of Labor Statistics publishes monthly consumer price index (“CPI”) figures.   The data looks back over a rolling 12-month period at how much goods and services have increased from a year ago.  These numbers are important!  They’re a rough measure of inflation, and elected officials and agency management </w:t>
      </w:r>
      <w:r w:rsidR="000B784A">
        <w:rPr>
          <w:rFonts w:ascii="Calibri" w:eastAsia="Calibri" w:hAnsi="Calibri" w:cs="Times New Roman"/>
          <w:sz w:val="26"/>
          <w:szCs w:val="26"/>
        </w:rPr>
        <w:t>may</w:t>
      </w:r>
      <w:r w:rsidRPr="00920B5B">
        <w:rPr>
          <w:rFonts w:ascii="Calibri" w:eastAsia="Calibri" w:hAnsi="Calibri" w:cs="Times New Roman"/>
          <w:sz w:val="26"/>
          <w:szCs w:val="26"/>
        </w:rPr>
        <w:t xml:space="preserve"> look to these numbers in determining “Cost of Living” raises.   Here</w:t>
      </w:r>
      <w:r w:rsidR="00186408">
        <w:rPr>
          <w:rFonts w:ascii="Calibri" w:eastAsia="Calibri" w:hAnsi="Calibri" w:cs="Times New Roman"/>
          <w:sz w:val="26"/>
          <w:szCs w:val="26"/>
        </w:rPr>
        <w:t xml:space="preserve"> are</w:t>
      </w:r>
      <w:r w:rsidRPr="00920B5B">
        <w:rPr>
          <w:rFonts w:ascii="Calibri" w:eastAsia="Calibri" w:hAnsi="Calibri" w:cs="Times New Roman"/>
          <w:sz w:val="26"/>
          <w:szCs w:val="26"/>
        </w:rPr>
        <w:t xml:space="preserve"> the figures you need to know:</w:t>
      </w:r>
    </w:p>
    <w:p w14:paraId="2CED2228" w14:textId="5E535DA8"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360" w:after="60" w:line="240" w:lineRule="auto"/>
        <w:ind w:left="720" w:right="720"/>
        <w:rPr>
          <w:rFonts w:ascii="Calibri" w:eastAsia="Calibri" w:hAnsi="Calibri" w:cs="Times New Roman"/>
          <w:sz w:val="26"/>
          <w:szCs w:val="26"/>
        </w:rPr>
      </w:pPr>
      <w:r w:rsidRPr="00920B5B">
        <w:rPr>
          <w:rFonts w:ascii="Calibri" w:eastAsia="Calibri" w:hAnsi="Calibri" w:cs="Times New Roman"/>
          <w:sz w:val="26"/>
          <w:szCs w:val="26"/>
        </w:rPr>
        <w:t>2.</w:t>
      </w:r>
      <w:r w:rsidR="002D305B">
        <w:rPr>
          <w:rFonts w:ascii="Calibri" w:eastAsia="Calibri" w:hAnsi="Calibri" w:cs="Times New Roman"/>
          <w:sz w:val="26"/>
          <w:szCs w:val="26"/>
        </w:rPr>
        <w:t>9</w:t>
      </w:r>
      <w:r w:rsidRPr="00920B5B">
        <w:rPr>
          <w:rFonts w:ascii="Calibri" w:eastAsia="Calibri" w:hAnsi="Calibri" w:cs="Times New Roman"/>
          <w:sz w:val="26"/>
          <w:szCs w:val="26"/>
        </w:rPr>
        <w:t xml:space="preserve">% - CPI for All Urban Consumers (CPI-U) Nationally </w:t>
      </w:r>
    </w:p>
    <w:p w14:paraId="20442CD4" w14:textId="1D77D33C"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6"/>
          <w:szCs w:val="26"/>
        </w:rPr>
      </w:pPr>
      <w:r w:rsidRPr="00920B5B">
        <w:rPr>
          <w:rFonts w:ascii="Calibri" w:eastAsia="Calibri" w:hAnsi="Calibri" w:cs="Times New Roman"/>
          <w:sz w:val="26"/>
          <w:szCs w:val="26"/>
        </w:rPr>
        <w:t>3.</w:t>
      </w:r>
      <w:r w:rsidR="002D305B">
        <w:rPr>
          <w:rFonts w:ascii="Calibri" w:eastAsia="Calibri" w:hAnsi="Calibri" w:cs="Times New Roman"/>
          <w:sz w:val="26"/>
          <w:szCs w:val="26"/>
        </w:rPr>
        <w:t>6</w:t>
      </w:r>
      <w:r w:rsidRPr="00920B5B">
        <w:rPr>
          <w:rFonts w:ascii="Calibri" w:eastAsia="Calibri" w:hAnsi="Calibri" w:cs="Times New Roman"/>
          <w:sz w:val="26"/>
          <w:szCs w:val="26"/>
        </w:rPr>
        <w:t xml:space="preserve">% - CPI-U for the West Region </w:t>
      </w:r>
    </w:p>
    <w:p w14:paraId="727881C0" w14:textId="33256F91"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6"/>
          <w:szCs w:val="26"/>
        </w:rPr>
      </w:pPr>
      <w:r w:rsidRPr="00920B5B">
        <w:rPr>
          <w:rFonts w:ascii="Calibri" w:eastAsia="Calibri" w:hAnsi="Calibri" w:cs="Times New Roman"/>
          <w:sz w:val="26"/>
          <w:szCs w:val="26"/>
        </w:rPr>
        <w:t>4.</w:t>
      </w:r>
      <w:r w:rsidR="002D305B">
        <w:rPr>
          <w:rFonts w:ascii="Calibri" w:eastAsia="Calibri" w:hAnsi="Calibri" w:cs="Times New Roman"/>
          <w:sz w:val="26"/>
          <w:szCs w:val="26"/>
        </w:rPr>
        <w:t>0</w:t>
      </w:r>
      <w:r w:rsidRPr="00920B5B">
        <w:rPr>
          <w:rFonts w:ascii="Calibri" w:eastAsia="Calibri" w:hAnsi="Calibri" w:cs="Times New Roman"/>
          <w:sz w:val="26"/>
          <w:szCs w:val="26"/>
        </w:rPr>
        <w:t xml:space="preserve">% - CPI-U for the Los Angeles Area </w:t>
      </w:r>
    </w:p>
    <w:p w14:paraId="1416A08F" w14:textId="3A58A701"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6"/>
          <w:szCs w:val="26"/>
        </w:rPr>
      </w:pPr>
      <w:r w:rsidRPr="00920B5B">
        <w:rPr>
          <w:rFonts w:ascii="Calibri" w:eastAsia="Calibri" w:hAnsi="Calibri" w:cs="Times New Roman"/>
          <w:sz w:val="26"/>
          <w:szCs w:val="26"/>
        </w:rPr>
        <w:t>3.</w:t>
      </w:r>
      <w:r w:rsidR="002D305B">
        <w:rPr>
          <w:rFonts w:ascii="Calibri" w:eastAsia="Calibri" w:hAnsi="Calibri" w:cs="Times New Roman"/>
          <w:sz w:val="26"/>
          <w:szCs w:val="26"/>
        </w:rPr>
        <w:t>9</w:t>
      </w:r>
      <w:r w:rsidRPr="00920B5B">
        <w:rPr>
          <w:rFonts w:ascii="Calibri" w:eastAsia="Calibri" w:hAnsi="Calibri" w:cs="Times New Roman"/>
          <w:sz w:val="26"/>
          <w:szCs w:val="26"/>
        </w:rPr>
        <w:t xml:space="preserve">% - CPI-U for San Francisco Bay Area </w:t>
      </w:r>
    </w:p>
    <w:p w14:paraId="431A4087" w14:textId="77777777" w:rsidR="00EC3FF8" w:rsidRPr="00920B5B" w:rsidRDefault="00EC3FF8" w:rsidP="00EC3FF8">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6"/>
          <w:szCs w:val="26"/>
        </w:rPr>
      </w:pPr>
      <w:r w:rsidRPr="00920B5B">
        <w:rPr>
          <w:rFonts w:ascii="Calibri" w:eastAsia="Calibri" w:hAnsi="Calibri" w:cs="Times New Roman"/>
          <w:sz w:val="26"/>
          <w:szCs w:val="26"/>
        </w:rPr>
        <w:t>2.8% - CPI-U for San Diego Area (6 months through December 2017)</w:t>
      </w:r>
    </w:p>
    <w:p w14:paraId="45392CAD" w14:textId="5F4767E2" w:rsidR="00636323" w:rsidRDefault="00636323" w:rsidP="00636323">
      <w:pPr>
        <w:shd w:val="clear" w:color="auto" w:fill="FFFFFF"/>
        <w:spacing w:before="360" w:after="60" w:line="240" w:lineRule="auto"/>
        <w:ind w:left="180" w:right="-90"/>
        <w:contextualSpacing/>
        <w:jc w:val="both"/>
        <w:rPr>
          <w:rFonts w:ascii="Calibri" w:eastAsia="Calibri" w:hAnsi="Calibri" w:cs="Times New Roman"/>
          <w:sz w:val="12"/>
          <w:szCs w:val="12"/>
        </w:rPr>
      </w:pPr>
    </w:p>
    <w:p w14:paraId="51691F91" w14:textId="77777777" w:rsidR="009E6B70" w:rsidRPr="00220842" w:rsidRDefault="009E6B70" w:rsidP="00636323">
      <w:pPr>
        <w:shd w:val="clear" w:color="auto" w:fill="FFFFFF"/>
        <w:spacing w:before="360" w:after="60" w:line="240" w:lineRule="auto"/>
        <w:ind w:left="180" w:right="-90"/>
        <w:contextualSpacing/>
        <w:jc w:val="both"/>
        <w:rPr>
          <w:rFonts w:ascii="Calibri" w:eastAsia="Calibri" w:hAnsi="Calibri" w:cs="Times New Roman"/>
          <w:sz w:val="12"/>
          <w:szCs w:val="12"/>
        </w:rPr>
      </w:pPr>
    </w:p>
    <w:p w14:paraId="682DFD18" w14:textId="47537974" w:rsidR="00436A7B" w:rsidRPr="00B93DE6" w:rsidRDefault="00701497" w:rsidP="00701497">
      <w:pPr>
        <w:spacing w:after="0" w:line="240" w:lineRule="auto"/>
        <w:jc w:val="center"/>
        <w:rPr>
          <w:rFonts w:eastAsia="Times New Roman"/>
          <w:b/>
          <w:sz w:val="50"/>
          <w:szCs w:val="50"/>
        </w:rPr>
      </w:pPr>
      <w:r w:rsidRPr="00B93DE6">
        <w:rPr>
          <w:rFonts w:eastAsia="Times New Roman"/>
          <w:b/>
          <w:sz w:val="50"/>
          <w:szCs w:val="50"/>
        </w:rPr>
        <w:t>Retired Public Employees Association News</w:t>
      </w:r>
    </w:p>
    <w:p w14:paraId="6D144CE2" w14:textId="77777777" w:rsidR="002D305B" w:rsidRDefault="002D305B" w:rsidP="002D305B">
      <w:pPr>
        <w:spacing w:line="240" w:lineRule="auto"/>
        <w:jc w:val="both"/>
        <w:rPr>
          <w:bCs/>
        </w:rPr>
      </w:pPr>
    </w:p>
    <w:p w14:paraId="3C91ABC6" w14:textId="06C1E677" w:rsidR="002D305B" w:rsidRPr="005E13FE" w:rsidRDefault="002D305B" w:rsidP="002D305B">
      <w:pPr>
        <w:spacing w:line="240" w:lineRule="auto"/>
        <w:jc w:val="both"/>
        <w:rPr>
          <w:rFonts w:cstheme="minorHAnsi"/>
          <w:bCs/>
          <w:sz w:val="26"/>
          <w:szCs w:val="26"/>
        </w:rPr>
      </w:pPr>
      <w:r w:rsidRPr="005E13FE">
        <w:rPr>
          <w:rFonts w:cstheme="minorHAnsi"/>
          <w:b/>
          <w:noProof/>
          <w:sz w:val="26"/>
          <w:szCs w:val="26"/>
          <w:u w:val="single"/>
        </w:rPr>
        <w:drawing>
          <wp:anchor distT="0" distB="0" distL="114300" distR="114300" simplePos="0" relativeHeight="251670528" behindDoc="0" locked="0" layoutInCell="1" allowOverlap="1" wp14:anchorId="5BFE0664" wp14:editId="3B482177">
            <wp:simplePos x="0" y="0"/>
            <wp:positionH relativeFrom="margin">
              <wp:posOffset>4133850</wp:posOffset>
            </wp:positionH>
            <wp:positionV relativeFrom="paragraph">
              <wp:posOffset>28575</wp:posOffset>
            </wp:positionV>
            <wp:extent cx="1714500" cy="1714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EA-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sidRPr="005E13FE">
        <w:rPr>
          <w:rFonts w:cstheme="minorHAnsi"/>
          <w:bCs/>
          <w:sz w:val="26"/>
          <w:szCs w:val="26"/>
        </w:rPr>
        <w:t xml:space="preserve">The Legislature </w:t>
      </w:r>
      <w:r w:rsidR="00C25D47">
        <w:rPr>
          <w:rFonts w:cstheme="minorHAnsi"/>
          <w:bCs/>
          <w:sz w:val="26"/>
          <w:szCs w:val="26"/>
        </w:rPr>
        <w:t>was</w:t>
      </w:r>
      <w:r w:rsidRPr="005E13FE">
        <w:rPr>
          <w:rFonts w:cstheme="minorHAnsi"/>
          <w:bCs/>
          <w:sz w:val="26"/>
          <w:szCs w:val="26"/>
        </w:rPr>
        <w:t xml:space="preserve"> on Summer Recess, but when they return </w:t>
      </w:r>
      <w:r w:rsidR="00C25D47">
        <w:rPr>
          <w:rFonts w:cstheme="minorHAnsi"/>
          <w:bCs/>
          <w:sz w:val="26"/>
          <w:szCs w:val="26"/>
        </w:rPr>
        <w:t>this month</w:t>
      </w:r>
      <w:r w:rsidRPr="005E13FE">
        <w:rPr>
          <w:rFonts w:cstheme="minorHAnsi"/>
          <w:bCs/>
          <w:sz w:val="26"/>
          <w:szCs w:val="26"/>
        </w:rPr>
        <w:t xml:space="preserve"> there will only be four weeks left in the 2017-18 legislative session. The deadline for bills is quickly approaching. </w:t>
      </w:r>
    </w:p>
    <w:p w14:paraId="3B779C87" w14:textId="61D467E2" w:rsidR="002D305B" w:rsidRPr="005E13FE" w:rsidRDefault="002D305B" w:rsidP="002D305B">
      <w:pPr>
        <w:spacing w:line="240" w:lineRule="auto"/>
        <w:jc w:val="both"/>
        <w:rPr>
          <w:rFonts w:cstheme="minorHAnsi"/>
          <w:bCs/>
          <w:sz w:val="26"/>
          <w:szCs w:val="26"/>
        </w:rPr>
      </w:pPr>
      <w:r w:rsidRPr="005E13FE">
        <w:rPr>
          <w:rFonts w:cstheme="minorHAnsi"/>
          <w:bCs/>
          <w:sz w:val="26"/>
          <w:szCs w:val="26"/>
        </w:rPr>
        <w:t xml:space="preserve">RPEA has had many victories throughout the </w:t>
      </w:r>
      <w:r w:rsidR="00C25D47" w:rsidRPr="005E13FE">
        <w:rPr>
          <w:rFonts w:cstheme="minorHAnsi"/>
          <w:bCs/>
          <w:sz w:val="26"/>
          <w:szCs w:val="26"/>
        </w:rPr>
        <w:t>2017-18 legislative session</w:t>
      </w:r>
      <w:r w:rsidRPr="005E13FE">
        <w:rPr>
          <w:rFonts w:cstheme="minorHAnsi"/>
          <w:bCs/>
          <w:sz w:val="26"/>
          <w:szCs w:val="26"/>
        </w:rPr>
        <w:t xml:space="preserve">. Bills that have sought to undermine pension security have been soundly defeated, while other bills that have advanced the well-being of retirees and active employees have been signed by the Governor. </w:t>
      </w:r>
    </w:p>
    <w:p w14:paraId="76BCB976" w14:textId="77777777" w:rsidR="002D305B" w:rsidRPr="005E13FE" w:rsidRDefault="002D305B" w:rsidP="002D305B">
      <w:pPr>
        <w:spacing w:line="240" w:lineRule="auto"/>
        <w:jc w:val="both"/>
        <w:rPr>
          <w:rFonts w:cstheme="minorHAnsi"/>
          <w:bCs/>
          <w:sz w:val="26"/>
          <w:szCs w:val="26"/>
        </w:rPr>
      </w:pPr>
      <w:r w:rsidRPr="005E13FE">
        <w:rPr>
          <w:rFonts w:cstheme="minorHAnsi"/>
          <w:bCs/>
          <w:sz w:val="26"/>
          <w:szCs w:val="26"/>
        </w:rPr>
        <w:t xml:space="preserve">As a review, Senator John </w:t>
      </w:r>
      <w:proofErr w:type="spellStart"/>
      <w:r w:rsidRPr="005E13FE">
        <w:rPr>
          <w:rFonts w:cstheme="minorHAnsi"/>
          <w:bCs/>
          <w:sz w:val="26"/>
          <w:szCs w:val="26"/>
        </w:rPr>
        <w:t>Moorlach</w:t>
      </w:r>
      <w:proofErr w:type="spellEnd"/>
      <w:r w:rsidRPr="005E13FE">
        <w:rPr>
          <w:rFonts w:cstheme="minorHAnsi"/>
          <w:bCs/>
          <w:sz w:val="26"/>
          <w:szCs w:val="26"/>
        </w:rPr>
        <w:t xml:space="preserve"> (R–Costa Mesa) has brought forth numerous bills this legislative cycle that would have a negative effect on pensioners. Of these measures, SB 32, SB 454, SB 681, SB 1031 and SB 1032 have all been successfully overcome. Additionally, his three State Constitutional Amendments—SCA 1, SCA 8 and SCA 10—have not progressed since they were introduced last year.  </w:t>
      </w:r>
    </w:p>
    <w:p w14:paraId="4123DC94" w14:textId="77777777" w:rsidR="002D305B" w:rsidRPr="005E13FE" w:rsidRDefault="002D305B" w:rsidP="002D305B">
      <w:pPr>
        <w:spacing w:line="240" w:lineRule="auto"/>
        <w:jc w:val="both"/>
        <w:rPr>
          <w:rFonts w:cstheme="minorHAnsi"/>
          <w:bCs/>
          <w:sz w:val="26"/>
          <w:szCs w:val="26"/>
        </w:rPr>
      </w:pPr>
      <w:r w:rsidRPr="005E13FE">
        <w:rPr>
          <w:rFonts w:cstheme="minorHAnsi"/>
          <w:bCs/>
          <w:sz w:val="26"/>
          <w:szCs w:val="26"/>
        </w:rPr>
        <w:lastRenderedPageBreak/>
        <w:t>Senator Ed Hernandez (D–West Covina) had two bills—supported by RPEA—that were signed by the Governor. SB 17 dealt with the disclosure of prescription drug costs, and SB 294 involved hospice care and services to seriously ill patients. Additionally, RPEA supported three Concurrent Resolutions, ACR 94 (Cooley), ACR 98 (</w:t>
      </w:r>
      <w:proofErr w:type="spellStart"/>
      <w:r w:rsidRPr="005E13FE">
        <w:rPr>
          <w:rFonts w:cstheme="minorHAnsi"/>
          <w:bCs/>
          <w:sz w:val="26"/>
          <w:szCs w:val="26"/>
        </w:rPr>
        <w:t>Kalra</w:t>
      </w:r>
      <w:proofErr w:type="spellEnd"/>
      <w:r w:rsidRPr="005E13FE">
        <w:rPr>
          <w:rFonts w:cstheme="minorHAnsi"/>
          <w:bCs/>
          <w:sz w:val="26"/>
          <w:szCs w:val="26"/>
        </w:rPr>
        <w:t>) and SCR 140 (Dodd), which were all chaptered as well. These resolutions were drafted to bring about an awareness of Alzheimer’s, as well as elder abuse.</w:t>
      </w:r>
    </w:p>
    <w:p w14:paraId="17D1E539" w14:textId="19485227" w:rsidR="002D305B" w:rsidRPr="005E13FE" w:rsidRDefault="002D305B" w:rsidP="002D305B">
      <w:pPr>
        <w:spacing w:line="240" w:lineRule="auto"/>
        <w:jc w:val="both"/>
        <w:rPr>
          <w:rFonts w:cstheme="minorHAnsi"/>
          <w:bCs/>
          <w:sz w:val="26"/>
          <w:szCs w:val="26"/>
        </w:rPr>
      </w:pPr>
      <w:r w:rsidRPr="005E13FE">
        <w:rPr>
          <w:rFonts w:cstheme="minorHAnsi"/>
          <w:bCs/>
          <w:sz w:val="26"/>
          <w:szCs w:val="26"/>
        </w:rPr>
        <w:t xml:space="preserve">RPEA is also keeping a watchful eye on AB 1912 (Rodriguez). This is a key piece of legislation involving Joint Power Authorities (JPA) and has recently been amended. It is currently awaiting to be heard in the Senate Appropriations Committee at the beginning of </w:t>
      </w:r>
      <w:r w:rsidR="00C25D47">
        <w:rPr>
          <w:rFonts w:cstheme="minorHAnsi"/>
          <w:bCs/>
          <w:sz w:val="26"/>
          <w:szCs w:val="26"/>
        </w:rPr>
        <w:t>this month</w:t>
      </w:r>
      <w:r w:rsidRPr="005E13FE">
        <w:rPr>
          <w:rFonts w:cstheme="minorHAnsi"/>
          <w:bCs/>
          <w:sz w:val="26"/>
          <w:szCs w:val="26"/>
        </w:rPr>
        <w:t xml:space="preserve">. </w:t>
      </w:r>
    </w:p>
    <w:p w14:paraId="6A536BCF" w14:textId="77777777" w:rsidR="002D305B" w:rsidRPr="005E13FE" w:rsidRDefault="002D305B" w:rsidP="002D305B">
      <w:pPr>
        <w:spacing w:line="240" w:lineRule="auto"/>
        <w:jc w:val="both"/>
        <w:rPr>
          <w:rFonts w:cstheme="minorHAnsi"/>
          <w:bCs/>
          <w:sz w:val="26"/>
          <w:szCs w:val="26"/>
        </w:rPr>
      </w:pPr>
      <w:r w:rsidRPr="005E13FE">
        <w:rPr>
          <w:rFonts w:cstheme="minorHAnsi"/>
          <w:bCs/>
          <w:sz w:val="26"/>
          <w:szCs w:val="26"/>
        </w:rPr>
        <w:t>We are also monitoring SB 1413 by Senator Nielsen (R-Red Bluff). This bill would enact the California Employers’ Pension Prefunding Trust Program and establish the California Employers’ Pension Prefunding Trust Fund to allow state and local public agency employers that provide a defined benefit pension plan to their employees to prefund their required pension contributions. Due to the recent amendments, SB 1413 has been re-referred to the Assembly Appropriations Committee.</w:t>
      </w:r>
    </w:p>
    <w:p w14:paraId="1D5BD591" w14:textId="77777777" w:rsidR="002D305B" w:rsidRPr="005E13FE" w:rsidRDefault="002D305B" w:rsidP="002D305B">
      <w:pPr>
        <w:spacing w:line="240" w:lineRule="auto"/>
        <w:jc w:val="both"/>
        <w:rPr>
          <w:rFonts w:cstheme="minorHAnsi"/>
          <w:bCs/>
          <w:i/>
          <w:sz w:val="26"/>
          <w:szCs w:val="26"/>
        </w:rPr>
      </w:pPr>
      <w:r w:rsidRPr="005E13FE">
        <w:rPr>
          <w:rFonts w:cstheme="minorHAnsi"/>
          <w:bCs/>
          <w:sz w:val="26"/>
          <w:szCs w:val="26"/>
        </w:rPr>
        <w:t>The Legislature will reconvene on August 6</w:t>
      </w:r>
      <w:r w:rsidRPr="005E13FE">
        <w:rPr>
          <w:rFonts w:cstheme="minorHAnsi"/>
          <w:bCs/>
          <w:sz w:val="26"/>
          <w:szCs w:val="26"/>
          <w:vertAlign w:val="superscript"/>
        </w:rPr>
        <w:t>th</w:t>
      </w:r>
      <w:r w:rsidRPr="005E13FE">
        <w:rPr>
          <w:rFonts w:cstheme="minorHAnsi"/>
          <w:bCs/>
          <w:sz w:val="26"/>
          <w:szCs w:val="26"/>
        </w:rPr>
        <w:t xml:space="preserve"> and will adjourn on August 31</w:t>
      </w:r>
      <w:r w:rsidRPr="005E13FE">
        <w:rPr>
          <w:rFonts w:cstheme="minorHAnsi"/>
          <w:bCs/>
          <w:sz w:val="26"/>
          <w:szCs w:val="26"/>
          <w:vertAlign w:val="superscript"/>
        </w:rPr>
        <w:t>st</w:t>
      </w:r>
      <w:r w:rsidRPr="005E13FE">
        <w:rPr>
          <w:rFonts w:cstheme="minorHAnsi"/>
          <w:bCs/>
          <w:sz w:val="26"/>
          <w:szCs w:val="26"/>
        </w:rPr>
        <w:t>. The Governor will then have until September 30</w:t>
      </w:r>
      <w:r w:rsidRPr="005E13FE">
        <w:rPr>
          <w:rFonts w:cstheme="minorHAnsi"/>
          <w:bCs/>
          <w:sz w:val="26"/>
          <w:szCs w:val="26"/>
          <w:vertAlign w:val="superscript"/>
        </w:rPr>
        <w:t>th</w:t>
      </w:r>
      <w:r w:rsidRPr="005E13FE">
        <w:rPr>
          <w:rFonts w:cstheme="minorHAnsi"/>
          <w:bCs/>
          <w:sz w:val="26"/>
          <w:szCs w:val="26"/>
        </w:rPr>
        <w:t xml:space="preserve"> to sign or veto bills passed by the Legislature. </w:t>
      </w:r>
    </w:p>
    <w:p w14:paraId="671CEEB2" w14:textId="77777777" w:rsidR="002D305B" w:rsidRPr="007F4628" w:rsidRDefault="002D305B" w:rsidP="002D305B">
      <w:pPr>
        <w:pStyle w:val="NoSpacing"/>
        <w:jc w:val="both"/>
        <w:rPr>
          <w:rFonts w:asciiTheme="minorHAnsi" w:hAnsiTheme="minorHAnsi" w:cstheme="minorHAnsi"/>
          <w:sz w:val="22"/>
          <w:szCs w:val="22"/>
        </w:rPr>
      </w:pPr>
      <w:r w:rsidRPr="007F4628">
        <w:rPr>
          <w:rFonts w:asciiTheme="minorHAnsi" w:hAnsiTheme="minorHAnsi" w:cstheme="minorHAnsi"/>
          <w:bCs/>
          <w:i/>
          <w:sz w:val="22"/>
          <w:szCs w:val="22"/>
        </w:rPr>
        <w:t xml:space="preserve">Since the beginning, RPEA has been actively involved in enhancing the lives of retirees. We are the only statewide association representing all PERS retirees. RPEA works tirelessly to safeguard and promote the retiree benefits of California’s public employees. </w:t>
      </w:r>
      <w:r w:rsidRPr="007F4628">
        <w:rPr>
          <w:rFonts w:asciiTheme="minorHAnsi" w:hAnsiTheme="minorHAnsi" w:cstheme="minorHAnsi"/>
          <w:i/>
          <w:sz w:val="22"/>
          <w:szCs w:val="22"/>
        </w:rPr>
        <w:t xml:space="preserve">For more information regarding retiree pensions and health benefits or to learn more about the Retired Public Employees’ Association of California, check out our website </w:t>
      </w:r>
      <w:hyperlink r:id="rId8" w:history="1">
        <w:r w:rsidRPr="007F4628">
          <w:rPr>
            <w:rStyle w:val="Hyperlink"/>
            <w:rFonts w:asciiTheme="minorHAnsi" w:hAnsiTheme="minorHAnsi" w:cstheme="minorHAnsi"/>
            <w:i/>
            <w:sz w:val="22"/>
            <w:szCs w:val="22"/>
          </w:rPr>
          <w:t>www.rpea.com</w:t>
        </w:r>
      </w:hyperlink>
      <w:r w:rsidRPr="007F4628">
        <w:rPr>
          <w:rStyle w:val="Hyperlink"/>
          <w:rFonts w:asciiTheme="minorHAnsi" w:hAnsiTheme="minorHAnsi" w:cstheme="minorHAnsi"/>
          <w:i/>
          <w:sz w:val="22"/>
          <w:szCs w:val="22"/>
        </w:rPr>
        <w:t>.</w:t>
      </w:r>
    </w:p>
    <w:p w14:paraId="6D35E0CF" w14:textId="77777777" w:rsidR="00AB68DE" w:rsidRDefault="00AB68DE" w:rsidP="00AB68DE">
      <w:pPr>
        <w:spacing w:after="0" w:line="240" w:lineRule="auto"/>
        <w:jc w:val="both"/>
        <w:rPr>
          <w:sz w:val="26"/>
          <w:szCs w:val="26"/>
        </w:rPr>
      </w:pPr>
    </w:p>
    <w:p w14:paraId="5E9D7697" w14:textId="77777777" w:rsidR="00701497" w:rsidRPr="00E50DA7" w:rsidRDefault="00701497" w:rsidP="00701497">
      <w:pPr>
        <w:spacing w:after="0" w:line="240" w:lineRule="auto"/>
        <w:jc w:val="center"/>
        <w:rPr>
          <w:rFonts w:eastAsia="Times New Roman"/>
          <w:b/>
          <w:sz w:val="52"/>
          <w:szCs w:val="40"/>
        </w:rPr>
      </w:pPr>
      <w:r w:rsidRPr="00E50DA7">
        <w:rPr>
          <w:rFonts w:eastAsia="Times New Roman"/>
          <w:b/>
          <w:sz w:val="52"/>
          <w:szCs w:val="40"/>
        </w:rPr>
        <w:t>Questions &amp; Answers about Your Job</w:t>
      </w:r>
    </w:p>
    <w:p w14:paraId="59DB5FBD" w14:textId="77777777" w:rsidR="00701497" w:rsidRPr="00BB046E" w:rsidRDefault="00701497" w:rsidP="00701497">
      <w:pPr>
        <w:spacing w:after="0"/>
        <w:rPr>
          <w:rFonts w:ascii="Times New Roman" w:eastAsia="Times New Roman" w:hAnsi="Times New Roman"/>
          <w:b/>
          <w:sz w:val="16"/>
          <w:szCs w:val="16"/>
        </w:rPr>
      </w:pPr>
    </w:p>
    <w:p w14:paraId="4FF4AA2E" w14:textId="77777777" w:rsidR="00701497" w:rsidRPr="005E6AC7" w:rsidRDefault="00701497" w:rsidP="00701497">
      <w:pPr>
        <w:spacing w:after="0"/>
        <w:jc w:val="both"/>
        <w:rPr>
          <w:rFonts w:eastAsia="Times New Roman" w:cstheme="minorHAnsi"/>
          <w:i/>
          <w:sz w:val="20"/>
          <w:szCs w:val="20"/>
        </w:rPr>
      </w:pPr>
      <w:r w:rsidRPr="005E6AC7">
        <w:rPr>
          <w:rFonts w:eastAsia="Times New Roman" w:cstheme="minorHAnsi"/>
          <w:i/>
          <w:sz w:val="20"/>
          <w:szCs w:val="20"/>
        </w:rPr>
        <w:t xml:space="preserve">Each month we receive dozens of questions about your rights on the job.  The following are some GENERAL answers.  If </w:t>
      </w:r>
      <w:r w:rsidRPr="005E6AC7">
        <w:rPr>
          <w:rFonts w:eastAsia="Times New Roman" w:cstheme="minorHAnsi"/>
          <w:i/>
          <w:sz w:val="20"/>
          <w:szCs w:val="20"/>
          <w:u w:val="single"/>
        </w:rPr>
        <w:t>you</w:t>
      </w:r>
      <w:r w:rsidRPr="005E6AC7">
        <w:rPr>
          <w:rFonts w:eastAsia="Times New Roman" w:cstheme="minorHAnsi"/>
          <w:i/>
          <w:sz w:val="20"/>
          <w:szCs w:val="20"/>
        </w:rPr>
        <w:t xml:space="preserve"> have a specific problem, talk to a Board Rep or CEA Staff at (562) 433-6983 or </w:t>
      </w:r>
      <w:hyperlink r:id="rId9" w:history="1">
        <w:r w:rsidRPr="005E6AC7">
          <w:rPr>
            <w:rFonts w:eastAsia="Times New Roman" w:cstheme="minorHAnsi"/>
            <w:i/>
            <w:sz w:val="20"/>
            <w:szCs w:val="20"/>
            <w:u w:val="single"/>
          </w:rPr>
          <w:t>cea@cityemployees.net</w:t>
        </w:r>
      </w:hyperlink>
      <w:r w:rsidRPr="005E6AC7">
        <w:rPr>
          <w:rFonts w:eastAsia="Times New Roman" w:cstheme="minorHAnsi"/>
          <w:i/>
          <w:sz w:val="20"/>
          <w:szCs w:val="20"/>
        </w:rPr>
        <w:t xml:space="preserve">.  </w:t>
      </w:r>
    </w:p>
    <w:p w14:paraId="78317C5A" w14:textId="77777777" w:rsidR="00701497" w:rsidRPr="00BB046E" w:rsidRDefault="00701497" w:rsidP="00701497">
      <w:pPr>
        <w:spacing w:after="0" w:line="240" w:lineRule="auto"/>
        <w:jc w:val="both"/>
        <w:rPr>
          <w:rFonts w:cstheme="minorHAnsi"/>
          <w:b/>
          <w:color w:val="BFBFBF" w:themeColor="background1" w:themeShade="BF"/>
          <w:sz w:val="16"/>
          <w:szCs w:val="16"/>
          <w:u w:val="single"/>
        </w:rPr>
      </w:pPr>
    </w:p>
    <w:p w14:paraId="1D7C7A24" w14:textId="77777777" w:rsidR="00701497" w:rsidRPr="00024A59" w:rsidRDefault="00701497" w:rsidP="00701497">
      <w:pPr>
        <w:spacing w:after="0" w:line="240" w:lineRule="auto"/>
        <w:jc w:val="both"/>
        <w:rPr>
          <w:rFonts w:cstheme="minorHAnsi"/>
          <w:b/>
          <w:color w:val="BFBFBF" w:themeColor="background1" w:themeShade="BF"/>
          <w:sz w:val="26"/>
          <w:szCs w:val="26"/>
        </w:rPr>
        <w:sectPr w:rsidR="00701497" w:rsidRPr="00024A59" w:rsidSect="008D4B16">
          <w:footerReference w:type="default" r:id="rId10"/>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p>
    <w:p w14:paraId="138C9E8E" w14:textId="77777777" w:rsidR="00CF5AAC" w:rsidRPr="00B54CD4" w:rsidRDefault="00CF5AAC" w:rsidP="00CF5AAC">
      <w:pPr>
        <w:spacing w:after="0" w:line="240" w:lineRule="auto"/>
        <w:jc w:val="both"/>
        <w:rPr>
          <w:rFonts w:cstheme="minorHAnsi"/>
          <w:b/>
          <w:sz w:val="27"/>
          <w:szCs w:val="27"/>
        </w:rPr>
      </w:pPr>
      <w:r w:rsidRPr="00B54CD4">
        <w:rPr>
          <w:rFonts w:cstheme="minorHAnsi"/>
          <w:b/>
          <w:sz w:val="27"/>
          <w:szCs w:val="27"/>
        </w:rPr>
        <w:t xml:space="preserve">Question:   </w:t>
      </w:r>
      <w:r w:rsidRPr="00B54CD4">
        <w:rPr>
          <w:b/>
          <w:sz w:val="27"/>
          <w:szCs w:val="27"/>
        </w:rPr>
        <w:t xml:space="preserve">Can an Agency require an employee to be enrolled in their Vision Service Plan?  I have been receiving a deduction from my paychecks for over 10 years now and I have not used the plan once.  I have asked HR if I can opt out of the plan, but I am told it is not voluntary – that taking the plan is </w:t>
      </w:r>
      <w:r w:rsidRPr="00B54CD4">
        <w:rPr>
          <w:b/>
          <w:sz w:val="27"/>
          <w:szCs w:val="27"/>
        </w:rPr>
        <w:t>required.  It’s only about $5 per pay period, but I’d like it to stop because I don’t want or use the plan.  What can I do?</w:t>
      </w:r>
      <w:r w:rsidRPr="00B54CD4">
        <w:rPr>
          <w:rFonts w:cstheme="minorHAnsi"/>
          <w:b/>
          <w:sz w:val="27"/>
          <w:szCs w:val="27"/>
        </w:rPr>
        <w:t xml:space="preserve">  </w:t>
      </w:r>
    </w:p>
    <w:p w14:paraId="14AB7C1D" w14:textId="77777777" w:rsidR="00CF5AAC" w:rsidRPr="00B54CD4" w:rsidRDefault="00CF5AAC" w:rsidP="00CF5AAC">
      <w:pPr>
        <w:spacing w:after="0" w:line="240" w:lineRule="auto"/>
        <w:jc w:val="both"/>
        <w:rPr>
          <w:b/>
          <w:sz w:val="27"/>
          <w:szCs w:val="27"/>
        </w:rPr>
      </w:pPr>
    </w:p>
    <w:p w14:paraId="11C525CD" w14:textId="77777777" w:rsidR="00CF5AAC" w:rsidRPr="00B54CD4" w:rsidRDefault="00CF5AAC" w:rsidP="00CF5AAC">
      <w:pPr>
        <w:spacing w:after="0" w:line="240" w:lineRule="auto"/>
        <w:jc w:val="both"/>
        <w:rPr>
          <w:rFonts w:cstheme="minorHAnsi"/>
          <w:sz w:val="27"/>
          <w:szCs w:val="27"/>
        </w:rPr>
      </w:pPr>
      <w:r w:rsidRPr="00B54CD4">
        <w:rPr>
          <w:rFonts w:cstheme="minorHAnsi"/>
          <w:sz w:val="27"/>
          <w:szCs w:val="27"/>
        </w:rPr>
        <w:t xml:space="preserve">Answer:  Mandatory participation in a Vision plan is a subject of bargaining.  If your Agency has reached agreement </w:t>
      </w:r>
      <w:r w:rsidRPr="00B54CD4">
        <w:rPr>
          <w:rFonts w:cstheme="minorHAnsi"/>
          <w:sz w:val="27"/>
          <w:szCs w:val="27"/>
        </w:rPr>
        <w:lastRenderedPageBreak/>
        <w:t>with your Association making the participation mandatory, then they can insist you be part of the plan.  The Association can propose to modify the mandatory participation at the next negotiations.  However, the rates may go up for those that participate.  The rates stay at an affordable level in anticipation that not all participants will utilize the benefit.  Based on your job requirements, you may want to get glare reducing glasses or safety glasses to utilize the benefit</w:t>
      </w:r>
      <w:r w:rsidRPr="00B54CD4">
        <w:rPr>
          <w:rFonts w:cstheme="minorHAnsi"/>
          <w:b/>
          <w:sz w:val="27"/>
          <w:szCs w:val="27"/>
        </w:rPr>
        <w:t>.</w:t>
      </w:r>
    </w:p>
    <w:p w14:paraId="5347E4F7" w14:textId="77777777" w:rsidR="00CF5AAC" w:rsidRPr="00B54CD4" w:rsidRDefault="00CF5AAC" w:rsidP="00CF5AAC">
      <w:pPr>
        <w:spacing w:after="0" w:line="240" w:lineRule="auto"/>
        <w:jc w:val="both"/>
        <w:rPr>
          <w:rFonts w:cstheme="minorHAnsi"/>
          <w:b/>
          <w:sz w:val="27"/>
          <w:szCs w:val="27"/>
        </w:rPr>
      </w:pPr>
    </w:p>
    <w:p w14:paraId="0827BA1D" w14:textId="77777777" w:rsidR="00CF5AAC" w:rsidRPr="00B54CD4" w:rsidRDefault="00CF5AAC" w:rsidP="00CF5AAC">
      <w:pPr>
        <w:spacing w:after="0" w:line="240" w:lineRule="auto"/>
        <w:jc w:val="both"/>
        <w:rPr>
          <w:rFonts w:cstheme="minorHAnsi"/>
          <w:b/>
          <w:sz w:val="27"/>
          <w:szCs w:val="27"/>
        </w:rPr>
      </w:pPr>
      <w:r w:rsidRPr="00B54CD4">
        <w:rPr>
          <w:rFonts w:cstheme="minorHAnsi"/>
          <w:b/>
          <w:sz w:val="27"/>
          <w:szCs w:val="27"/>
        </w:rPr>
        <w:t xml:space="preserve">Question:  </w:t>
      </w:r>
      <w:r w:rsidRPr="00B54CD4">
        <w:rPr>
          <w:rFonts w:cstheme="minorHAnsi"/>
          <w:b/>
          <w:color w:val="000000"/>
          <w:sz w:val="27"/>
          <w:szCs w:val="27"/>
        </w:rPr>
        <w:t>My co-worker has been appointed as “Acting” for a promotional position that has become vacant.  There is an active list of qualified candidates and the Agency has interviewed the top 4 names on the list including my co-worker.  It is my opinion that appointing someone as “Acting” is unnecessary because of the existence of the qualified list and allowing someone to be an “Acting” gives them an unfair advantage over other candidates as it relates to on-the-job experience this person is receiving.  Is there something that can be done about this?  It seems like an end-run around the other candidates.</w:t>
      </w:r>
    </w:p>
    <w:p w14:paraId="771BB0F7" w14:textId="77777777" w:rsidR="00CF5AAC" w:rsidRPr="00B54CD4" w:rsidRDefault="00CF5AAC" w:rsidP="00CF5AAC">
      <w:pPr>
        <w:spacing w:after="0" w:line="240" w:lineRule="auto"/>
        <w:jc w:val="both"/>
        <w:rPr>
          <w:rFonts w:cstheme="minorHAnsi"/>
          <w:b/>
          <w:sz w:val="27"/>
          <w:szCs w:val="27"/>
        </w:rPr>
      </w:pPr>
    </w:p>
    <w:p w14:paraId="7C60EA0A" w14:textId="3C243220" w:rsidR="00CF5AAC" w:rsidRPr="00B54CD4" w:rsidRDefault="00CF5AAC" w:rsidP="00CF5AAC">
      <w:pPr>
        <w:spacing w:after="0" w:line="240" w:lineRule="auto"/>
        <w:jc w:val="both"/>
        <w:rPr>
          <w:sz w:val="27"/>
          <w:szCs w:val="27"/>
        </w:rPr>
      </w:pPr>
      <w:r w:rsidRPr="00B54CD4">
        <w:rPr>
          <w:rFonts w:cstheme="minorHAnsi"/>
          <w:sz w:val="27"/>
          <w:szCs w:val="27"/>
        </w:rPr>
        <w:t xml:space="preserve">Answer:  The Agency has an ability to designate </w:t>
      </w:r>
      <w:r w:rsidR="004D064A">
        <w:rPr>
          <w:rFonts w:cstheme="minorHAnsi"/>
          <w:sz w:val="27"/>
          <w:szCs w:val="27"/>
        </w:rPr>
        <w:t xml:space="preserve">someone as </w:t>
      </w:r>
      <w:r w:rsidRPr="00B54CD4">
        <w:rPr>
          <w:rFonts w:cstheme="minorHAnsi"/>
          <w:sz w:val="27"/>
          <w:szCs w:val="27"/>
        </w:rPr>
        <w:t>acting even when there is a list of candidates.  Depending o</w:t>
      </w:r>
      <w:r w:rsidR="00C25D47">
        <w:rPr>
          <w:rFonts w:cstheme="minorHAnsi"/>
          <w:sz w:val="27"/>
          <w:szCs w:val="27"/>
        </w:rPr>
        <w:t>n</w:t>
      </w:r>
      <w:r w:rsidRPr="00B54CD4">
        <w:rPr>
          <w:rFonts w:cstheme="minorHAnsi"/>
          <w:sz w:val="27"/>
          <w:szCs w:val="27"/>
        </w:rPr>
        <w:t xml:space="preserve"> the position, interviewer’s calendars, and pre-employment or promotional criteria </w:t>
      </w:r>
      <w:r w:rsidRPr="00B54CD4">
        <w:rPr>
          <w:rFonts w:cstheme="minorHAnsi"/>
          <w:sz w:val="27"/>
          <w:szCs w:val="27"/>
        </w:rPr>
        <w:t xml:space="preserve">there may be a delay for several months.  Some positions or deadlines cannot wait for the new appointment.   Your Association could issue a proposal at the next negotiations that requires a rotation of acting duties, so that no one person receives any advantage. </w:t>
      </w:r>
    </w:p>
    <w:p w14:paraId="6010CCE7" w14:textId="77777777" w:rsidR="00CF5AAC" w:rsidRPr="00B54CD4" w:rsidRDefault="00CF5AAC" w:rsidP="00CF5AAC">
      <w:pPr>
        <w:spacing w:after="0" w:line="240" w:lineRule="auto"/>
        <w:jc w:val="both"/>
        <w:rPr>
          <w:rFonts w:cstheme="minorHAnsi"/>
          <w:b/>
          <w:sz w:val="27"/>
          <w:szCs w:val="27"/>
        </w:rPr>
      </w:pPr>
    </w:p>
    <w:p w14:paraId="7F91A643" w14:textId="77777777" w:rsidR="00CF5AAC" w:rsidRPr="00B54CD4" w:rsidRDefault="00CF5AAC" w:rsidP="00CF5AAC">
      <w:pPr>
        <w:spacing w:after="0" w:line="240" w:lineRule="auto"/>
        <w:jc w:val="both"/>
        <w:rPr>
          <w:rFonts w:cstheme="minorHAnsi"/>
          <w:b/>
          <w:sz w:val="27"/>
          <w:szCs w:val="27"/>
        </w:rPr>
      </w:pPr>
      <w:r w:rsidRPr="00B54CD4">
        <w:rPr>
          <w:rFonts w:cstheme="minorHAnsi"/>
          <w:b/>
          <w:sz w:val="27"/>
          <w:szCs w:val="27"/>
        </w:rPr>
        <w:t xml:space="preserve">Question:   I have requested a vacation day on a date where our </w:t>
      </w:r>
      <w:r w:rsidRPr="00B54CD4">
        <w:rPr>
          <w:b/>
          <w:sz w:val="27"/>
          <w:szCs w:val="27"/>
        </w:rPr>
        <w:t xml:space="preserve">Agency is having an “Employee Appreciation Day” with an all-staff luncheon event.  Can they deny my vacation request and force me to go to this function?  I have earned the vacation time and shouldn’t have to cancel my vacation to attend.  Especially when it’s the Agency who’s causing the low morale, which this event will do nothing to fix.   </w:t>
      </w:r>
      <w:r w:rsidRPr="00B54CD4">
        <w:rPr>
          <w:rFonts w:cstheme="minorHAnsi"/>
          <w:b/>
          <w:sz w:val="27"/>
          <w:szCs w:val="27"/>
        </w:rPr>
        <w:t xml:space="preserve">  </w:t>
      </w:r>
    </w:p>
    <w:p w14:paraId="11A44B35" w14:textId="77777777" w:rsidR="00CF5AAC" w:rsidRPr="00B54CD4" w:rsidRDefault="00CF5AAC" w:rsidP="00CF5AAC">
      <w:pPr>
        <w:spacing w:after="0" w:line="240" w:lineRule="auto"/>
        <w:jc w:val="both"/>
        <w:rPr>
          <w:b/>
          <w:sz w:val="27"/>
          <w:szCs w:val="27"/>
        </w:rPr>
      </w:pPr>
    </w:p>
    <w:p w14:paraId="66E5F543" w14:textId="18DA79E1" w:rsidR="00CF5AAC" w:rsidRPr="00B54CD4" w:rsidRDefault="00CF5AAC" w:rsidP="00CF5AAC">
      <w:pPr>
        <w:spacing w:after="0" w:line="240" w:lineRule="auto"/>
        <w:jc w:val="both"/>
        <w:rPr>
          <w:sz w:val="27"/>
          <w:szCs w:val="27"/>
        </w:rPr>
      </w:pPr>
      <w:r w:rsidRPr="00B54CD4">
        <w:rPr>
          <w:rFonts w:cstheme="minorHAnsi"/>
          <w:sz w:val="27"/>
          <w:szCs w:val="27"/>
        </w:rPr>
        <w:t>Answer:  Vacation can be denied within reason.  However, it is more complicated once approved to now res</w:t>
      </w:r>
      <w:r w:rsidR="00C25D47">
        <w:rPr>
          <w:rFonts w:cstheme="minorHAnsi"/>
          <w:sz w:val="27"/>
          <w:szCs w:val="27"/>
        </w:rPr>
        <w:t>ci</w:t>
      </w:r>
      <w:r w:rsidRPr="00B54CD4">
        <w:rPr>
          <w:rFonts w:cstheme="minorHAnsi"/>
          <w:sz w:val="27"/>
          <w:szCs w:val="27"/>
        </w:rPr>
        <w:t>nd that approval.  If you have plans that cannot be changed or expenses already paid, you will likely be excused from the event.  However, if you can change your plans and attend this morale boosting lunch it may be good for you and your work unit.  Your Association staff can assist you in securing this vacation or negotiating a substitute vacation date.</w:t>
      </w:r>
    </w:p>
    <w:p w14:paraId="1EFEF058" w14:textId="77777777" w:rsidR="00CF5AAC" w:rsidRPr="00B54CD4" w:rsidRDefault="00CF5AAC" w:rsidP="00CF5AAC">
      <w:pPr>
        <w:spacing w:after="0" w:line="240" w:lineRule="auto"/>
        <w:jc w:val="both"/>
        <w:rPr>
          <w:rFonts w:cstheme="minorHAnsi"/>
          <w:sz w:val="27"/>
          <w:szCs w:val="27"/>
        </w:rPr>
      </w:pPr>
    </w:p>
    <w:p w14:paraId="3557341D" w14:textId="77777777" w:rsidR="00CF5AAC" w:rsidRPr="00B54CD4" w:rsidRDefault="00CF5AAC" w:rsidP="00CF5AAC">
      <w:pPr>
        <w:spacing w:after="0" w:line="240" w:lineRule="auto"/>
        <w:jc w:val="both"/>
        <w:rPr>
          <w:rFonts w:cstheme="minorHAnsi"/>
          <w:b/>
          <w:sz w:val="27"/>
          <w:szCs w:val="27"/>
        </w:rPr>
      </w:pPr>
      <w:r w:rsidRPr="00B54CD4">
        <w:rPr>
          <w:rFonts w:cstheme="minorHAnsi"/>
          <w:b/>
          <w:sz w:val="27"/>
          <w:szCs w:val="27"/>
        </w:rPr>
        <w:t xml:space="preserve">Question:   Is there any official definition of what is discourteous or unprofessional treatment towards a co-worker or member of the public?  </w:t>
      </w:r>
      <w:r w:rsidRPr="00B54CD4">
        <w:rPr>
          <w:rFonts w:cstheme="minorHAnsi"/>
          <w:b/>
          <w:sz w:val="27"/>
          <w:szCs w:val="27"/>
        </w:rPr>
        <w:lastRenderedPageBreak/>
        <w:t xml:space="preserve">Our disciplinary procedure allows the Agency to discipline employees for this reason, but it doesn’t define what this behavior consists of.  My co-workers and I routinely interact with members of the public, and some of them are quite hostile with us.  We’re afraid one of them will complain to management and we’ll be fired over it.  We do our best to be cordial and helpful, but this just seems so subjective.  </w:t>
      </w:r>
    </w:p>
    <w:p w14:paraId="6D7715B3" w14:textId="77777777" w:rsidR="00CF5AAC" w:rsidRPr="00B54CD4" w:rsidRDefault="00CF5AAC" w:rsidP="00CF5AAC">
      <w:pPr>
        <w:spacing w:after="0" w:line="240" w:lineRule="auto"/>
        <w:jc w:val="both"/>
        <w:rPr>
          <w:b/>
          <w:sz w:val="27"/>
          <w:szCs w:val="27"/>
        </w:rPr>
      </w:pPr>
    </w:p>
    <w:p w14:paraId="0C8853B7" w14:textId="4EC5351E" w:rsidR="00CF5AAC" w:rsidRPr="00B54CD4" w:rsidRDefault="00CF5AAC" w:rsidP="00CF5AAC">
      <w:pPr>
        <w:spacing w:after="0" w:line="240" w:lineRule="auto"/>
        <w:jc w:val="both"/>
        <w:rPr>
          <w:sz w:val="27"/>
          <w:szCs w:val="27"/>
        </w:rPr>
      </w:pPr>
      <w:r w:rsidRPr="00B54CD4">
        <w:rPr>
          <w:rFonts w:cstheme="minorHAnsi"/>
          <w:sz w:val="27"/>
          <w:szCs w:val="27"/>
        </w:rPr>
        <w:t>Answer:  There is no one definition or example that fits all interactions.  The Agency has an obligation to train and re-train the employees on what is acceptable responses to issues you face on the job.  If there is a complaint, the first question will be whether there has been any training and/or staff meeting discussions to give you the tools to navigate a response that the Agency supports.  If you want to be proactive about addressing the issue, you could bring the issue forward in a staff meeting along with typical customer interactions.  A staff meeting role</w:t>
      </w:r>
      <w:r w:rsidR="004D064A">
        <w:rPr>
          <w:rFonts w:cstheme="minorHAnsi"/>
          <w:sz w:val="27"/>
          <w:szCs w:val="27"/>
        </w:rPr>
        <w:t>-</w:t>
      </w:r>
      <w:r w:rsidRPr="00B54CD4">
        <w:rPr>
          <w:rFonts w:cstheme="minorHAnsi"/>
          <w:sz w:val="27"/>
          <w:szCs w:val="27"/>
        </w:rPr>
        <w:t>playing exercise may be very useful in removing the stress of whether you have management’s support in the way you interact with the public</w:t>
      </w:r>
      <w:r w:rsidRPr="00B54CD4">
        <w:rPr>
          <w:rFonts w:cstheme="minorHAnsi"/>
          <w:b/>
          <w:sz w:val="27"/>
          <w:szCs w:val="27"/>
        </w:rPr>
        <w:t>.</w:t>
      </w:r>
    </w:p>
    <w:p w14:paraId="6500454E" w14:textId="77777777" w:rsidR="00CF5AAC" w:rsidRPr="00B54CD4" w:rsidRDefault="00CF5AAC" w:rsidP="00CF5AAC">
      <w:pPr>
        <w:rPr>
          <w:sz w:val="27"/>
          <w:szCs w:val="27"/>
        </w:rPr>
      </w:pPr>
    </w:p>
    <w:p w14:paraId="566FB985" w14:textId="77777777" w:rsidR="00CF5AAC" w:rsidRPr="00B54CD4" w:rsidRDefault="00CF5AAC" w:rsidP="00CF5AAC">
      <w:pPr>
        <w:spacing w:after="0" w:line="240" w:lineRule="auto"/>
        <w:jc w:val="both"/>
        <w:rPr>
          <w:rFonts w:cstheme="minorHAnsi"/>
          <w:b/>
          <w:sz w:val="27"/>
          <w:szCs w:val="27"/>
        </w:rPr>
      </w:pPr>
      <w:r w:rsidRPr="00B54CD4">
        <w:rPr>
          <w:rFonts w:cstheme="minorHAnsi"/>
          <w:b/>
          <w:sz w:val="27"/>
          <w:szCs w:val="27"/>
        </w:rPr>
        <w:t>Question:  I</w:t>
      </w:r>
      <w:r w:rsidRPr="00B54CD4">
        <w:rPr>
          <w:rFonts w:eastAsia="Times New Roman" w:cstheme="minorHAnsi"/>
          <w:b/>
          <w:color w:val="000000"/>
          <w:sz w:val="27"/>
          <w:szCs w:val="27"/>
        </w:rPr>
        <w:t xml:space="preserve"> was notified that the Department will be holding on-demand video interviews through a computer or smart mobile device for a position I want to promote into.  The </w:t>
      </w:r>
      <w:r w:rsidRPr="00B54CD4">
        <w:rPr>
          <w:rFonts w:eastAsia="Times New Roman" w:cstheme="minorHAnsi"/>
          <w:b/>
          <w:color w:val="000000"/>
          <w:sz w:val="27"/>
          <w:szCs w:val="27"/>
        </w:rPr>
        <w:t>next day, I notified the Department that I wanted to interview but will be on vacation until after the deadline has passed.  I never heard back from the Department regarding my unavailability until after I got back from vacation and the interview period closed.  The Department already moved on with the recruitment without me.  What are the video interview requirements? Does it need to be specified in the job posting that there will be a video interview?  I went back and checked.  It appears that when I replied to the video interview invite, the email was sent to a "no-reply" email address.  But there were no instructions in the invite to not reply to this email or to reply to a different address.  Can I still be considered for the job?</w:t>
      </w:r>
    </w:p>
    <w:p w14:paraId="172D0AA5" w14:textId="77777777" w:rsidR="00CF5AAC" w:rsidRPr="00B54CD4" w:rsidRDefault="00CF5AAC" w:rsidP="00CF5AAC">
      <w:pPr>
        <w:spacing w:after="0" w:line="240" w:lineRule="auto"/>
        <w:jc w:val="both"/>
        <w:rPr>
          <w:rFonts w:cstheme="minorHAnsi"/>
          <w:b/>
          <w:sz w:val="27"/>
          <w:szCs w:val="27"/>
        </w:rPr>
      </w:pPr>
    </w:p>
    <w:p w14:paraId="66D55C71" w14:textId="6BAC20B8" w:rsidR="00A14CDD" w:rsidRPr="00B54CD4" w:rsidRDefault="00CF5AAC" w:rsidP="00CF5AAC">
      <w:pPr>
        <w:spacing w:after="0" w:line="240" w:lineRule="auto"/>
        <w:jc w:val="both"/>
        <w:rPr>
          <w:rFonts w:cstheme="minorHAnsi"/>
          <w:sz w:val="27"/>
          <w:szCs w:val="27"/>
        </w:rPr>
      </w:pPr>
      <w:r w:rsidRPr="00B54CD4">
        <w:rPr>
          <w:rFonts w:cstheme="minorHAnsi"/>
          <w:sz w:val="27"/>
          <w:szCs w:val="27"/>
        </w:rPr>
        <w:t>Answer:  Most recruitment policies or personnel rules allow for an applica</w:t>
      </w:r>
      <w:r w:rsidR="00073178">
        <w:rPr>
          <w:rFonts w:cstheme="minorHAnsi"/>
          <w:sz w:val="27"/>
          <w:szCs w:val="27"/>
        </w:rPr>
        <w:t>n</w:t>
      </w:r>
      <w:r w:rsidRPr="00B54CD4">
        <w:rPr>
          <w:rFonts w:cstheme="minorHAnsi"/>
          <w:sz w:val="27"/>
          <w:szCs w:val="27"/>
        </w:rPr>
        <w:t xml:space="preserve">t to challenge or appeal the results of any of the interview or testing results.  Technology is being utilized more often in the workplace and in recruitment and selection methods.  In some classifications, this is a measure of the technology experience necessary for the job.  </w:t>
      </w:r>
      <w:r w:rsidR="002B68C4">
        <w:rPr>
          <w:rFonts w:cstheme="minorHAnsi"/>
          <w:sz w:val="27"/>
          <w:szCs w:val="27"/>
        </w:rPr>
        <w:t>For o</w:t>
      </w:r>
      <w:r w:rsidRPr="00B54CD4">
        <w:rPr>
          <w:rFonts w:cstheme="minorHAnsi"/>
          <w:sz w:val="27"/>
          <w:szCs w:val="27"/>
        </w:rPr>
        <w:t>thers, this would be outside of the skill set necessary to be successful in the job in which you applied.  Your Association staff could review the job announcement and essential function</w:t>
      </w:r>
      <w:r w:rsidR="00073178">
        <w:rPr>
          <w:rFonts w:cstheme="minorHAnsi"/>
          <w:sz w:val="27"/>
          <w:szCs w:val="27"/>
        </w:rPr>
        <w:t>s</w:t>
      </w:r>
      <w:r w:rsidRPr="00B54CD4">
        <w:rPr>
          <w:rFonts w:cstheme="minorHAnsi"/>
          <w:sz w:val="27"/>
          <w:szCs w:val="27"/>
        </w:rPr>
        <w:t xml:space="preserve"> of the position to </w:t>
      </w:r>
      <w:r w:rsidR="00073178">
        <w:rPr>
          <w:rFonts w:cstheme="minorHAnsi"/>
          <w:sz w:val="27"/>
          <w:szCs w:val="27"/>
        </w:rPr>
        <w:lastRenderedPageBreak/>
        <w:t xml:space="preserve">advise you on </w:t>
      </w:r>
      <w:r w:rsidRPr="00B54CD4">
        <w:rPr>
          <w:rFonts w:cstheme="minorHAnsi"/>
          <w:sz w:val="27"/>
          <w:szCs w:val="27"/>
        </w:rPr>
        <w:t>whether to file an appeal under your local rules.</w:t>
      </w:r>
    </w:p>
    <w:p w14:paraId="5578A230" w14:textId="0FF30127" w:rsidR="00B54CD4" w:rsidRDefault="00B54CD4" w:rsidP="00CF5AAC">
      <w:pPr>
        <w:spacing w:after="0" w:line="240" w:lineRule="auto"/>
        <w:jc w:val="both"/>
        <w:rPr>
          <w:rFonts w:cstheme="minorHAnsi"/>
          <w:sz w:val="26"/>
          <w:szCs w:val="26"/>
        </w:rPr>
      </w:pPr>
    </w:p>
    <w:p w14:paraId="5399EA8F" w14:textId="77777777" w:rsidR="00B54CD4" w:rsidRDefault="00B54CD4" w:rsidP="00CF5AAC">
      <w:pPr>
        <w:spacing w:after="0" w:line="240" w:lineRule="auto"/>
        <w:jc w:val="both"/>
        <w:rPr>
          <w:rFonts w:cstheme="minorHAnsi"/>
          <w:sz w:val="26"/>
          <w:szCs w:val="26"/>
        </w:rPr>
        <w:sectPr w:rsidR="00B54CD4" w:rsidSect="00B54CD4">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787FF65A" w14:textId="7C89F571" w:rsidR="00B54CD4" w:rsidRDefault="00B54CD4" w:rsidP="00CF5AAC">
      <w:pPr>
        <w:spacing w:after="0" w:line="240" w:lineRule="auto"/>
        <w:jc w:val="both"/>
        <w:rPr>
          <w:rFonts w:cstheme="minorHAnsi"/>
          <w:sz w:val="26"/>
          <w:szCs w:val="26"/>
        </w:rPr>
      </w:pPr>
    </w:p>
    <w:p w14:paraId="393ADA5D" w14:textId="61CAE40E" w:rsidR="00B54CD4" w:rsidRPr="00C759F6" w:rsidRDefault="00B54CD4"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0" w:beforeAutospacing="0" w:after="0" w:afterAutospacing="0"/>
        <w:jc w:val="center"/>
        <w:rPr>
          <w:rStyle w:val="Strong"/>
          <w:rFonts w:asciiTheme="minorHAnsi" w:hAnsiTheme="minorHAnsi" w:cstheme="minorHAnsi"/>
          <w:color w:val="7030A0"/>
          <w:spacing w:val="40"/>
          <w:sz w:val="40"/>
          <w:szCs w:val="40"/>
        </w:rPr>
      </w:pPr>
      <w:r w:rsidRPr="00C759F6">
        <w:rPr>
          <w:rStyle w:val="Strong"/>
          <w:rFonts w:asciiTheme="minorHAnsi" w:hAnsiTheme="minorHAnsi" w:cstheme="minorHAnsi"/>
          <w:color w:val="7030A0"/>
          <w:spacing w:val="40"/>
          <w:sz w:val="40"/>
          <w:szCs w:val="40"/>
        </w:rPr>
        <w:t xml:space="preserve">CalPERS Adopts </w:t>
      </w:r>
      <w:r w:rsidR="00C04273" w:rsidRPr="00C759F6">
        <w:rPr>
          <w:rStyle w:val="Strong"/>
          <w:rFonts w:asciiTheme="minorHAnsi" w:hAnsiTheme="minorHAnsi" w:cstheme="minorHAnsi"/>
          <w:color w:val="7030A0"/>
          <w:spacing w:val="40"/>
          <w:sz w:val="40"/>
          <w:szCs w:val="40"/>
        </w:rPr>
        <w:t xml:space="preserve">2019 </w:t>
      </w:r>
      <w:r w:rsidRPr="00C759F6">
        <w:rPr>
          <w:rStyle w:val="Strong"/>
          <w:rFonts w:asciiTheme="minorHAnsi" w:hAnsiTheme="minorHAnsi" w:cstheme="minorHAnsi"/>
          <w:color w:val="7030A0"/>
          <w:spacing w:val="40"/>
          <w:sz w:val="40"/>
          <w:szCs w:val="40"/>
        </w:rPr>
        <w:t>Health Insurance Premiums; Average Overall Premium Increase is 1.16%</w:t>
      </w:r>
    </w:p>
    <w:p w14:paraId="1FC263EB" w14:textId="77777777" w:rsidR="00A27B55" w:rsidRDefault="00B54CD4"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r w:rsidRPr="00C04273">
        <w:rPr>
          <w:rFonts w:asciiTheme="minorHAnsi" w:hAnsiTheme="minorHAnsi" w:cstheme="minorHAnsi"/>
          <w:color w:val="000000"/>
          <w:sz w:val="27"/>
          <w:szCs w:val="27"/>
        </w:rPr>
        <w:t>On June 20</w:t>
      </w:r>
      <w:r w:rsidRPr="00C04273">
        <w:rPr>
          <w:rFonts w:asciiTheme="minorHAnsi" w:hAnsiTheme="minorHAnsi" w:cstheme="minorHAnsi"/>
          <w:color w:val="000000"/>
          <w:sz w:val="27"/>
          <w:szCs w:val="27"/>
          <w:vertAlign w:val="superscript"/>
        </w:rPr>
        <w:t>th</w:t>
      </w:r>
      <w:r w:rsidRPr="00C04273">
        <w:rPr>
          <w:rFonts w:asciiTheme="minorHAnsi" w:hAnsiTheme="minorHAnsi" w:cstheme="minorHAnsi"/>
          <w:color w:val="000000"/>
          <w:sz w:val="27"/>
          <w:szCs w:val="27"/>
        </w:rPr>
        <w:t xml:space="preserve">, CalPERS adopted and approved health care rate and plan changes for 2019 that include an average 1.16% overall premium increase.  According to CalPERS, this marks the lowest health premium increase CalPERS has negotiated in over two decades.  </w:t>
      </w:r>
    </w:p>
    <w:p w14:paraId="6CAB1778" w14:textId="49ECE2B7" w:rsidR="00B54CD4" w:rsidRPr="00C04273" w:rsidRDefault="00B54CD4"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r w:rsidRPr="00C04273">
        <w:rPr>
          <w:rFonts w:asciiTheme="minorHAnsi" w:hAnsiTheme="minorHAnsi" w:cstheme="minorHAnsi"/>
          <w:color w:val="000000"/>
          <w:sz w:val="27"/>
          <w:szCs w:val="27"/>
        </w:rPr>
        <w:t>Amid increasingly volatile health care markets across the industry, CalPERS continues to achieve historically competitive prices.</w:t>
      </w:r>
      <w:r w:rsidR="00C04273" w:rsidRPr="00C04273">
        <w:rPr>
          <w:rFonts w:asciiTheme="minorHAnsi" w:hAnsiTheme="minorHAnsi" w:cstheme="minorHAnsi"/>
          <w:color w:val="000000"/>
          <w:sz w:val="27"/>
          <w:szCs w:val="27"/>
        </w:rPr>
        <w:t xml:space="preserve">  CalPERS is the second largest purchaser of health care in the country, behind only the federal government.</w:t>
      </w:r>
    </w:p>
    <w:p w14:paraId="7313CD62" w14:textId="56EBE2DA" w:rsidR="00B54CD4" w:rsidRPr="00C04273" w:rsidRDefault="00B54CD4"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r w:rsidRPr="00C04273">
        <w:rPr>
          <w:rFonts w:asciiTheme="minorHAnsi" w:hAnsiTheme="minorHAnsi" w:cstheme="minorHAnsi"/>
          <w:color w:val="000000"/>
          <w:sz w:val="27"/>
          <w:szCs w:val="27"/>
        </w:rPr>
        <w:t xml:space="preserve">Rob </w:t>
      </w:r>
      <w:proofErr w:type="spellStart"/>
      <w:r w:rsidRPr="00C04273">
        <w:rPr>
          <w:rFonts w:asciiTheme="minorHAnsi" w:hAnsiTheme="minorHAnsi" w:cstheme="minorHAnsi"/>
          <w:color w:val="000000"/>
          <w:sz w:val="27"/>
          <w:szCs w:val="27"/>
        </w:rPr>
        <w:t>Feckner</w:t>
      </w:r>
      <w:proofErr w:type="spellEnd"/>
      <w:r w:rsidRPr="00C04273">
        <w:rPr>
          <w:rFonts w:asciiTheme="minorHAnsi" w:hAnsiTheme="minorHAnsi" w:cstheme="minorHAnsi"/>
          <w:color w:val="000000"/>
          <w:sz w:val="27"/>
          <w:szCs w:val="27"/>
        </w:rPr>
        <w:t>, chair of the Pensions Health and Benefits Committee, stated that “[o]</w:t>
      </w:r>
      <w:proofErr w:type="spellStart"/>
      <w:r w:rsidRPr="00C04273">
        <w:rPr>
          <w:rFonts w:asciiTheme="minorHAnsi" w:hAnsiTheme="minorHAnsi" w:cstheme="minorHAnsi"/>
          <w:color w:val="000000"/>
          <w:sz w:val="27"/>
          <w:szCs w:val="27"/>
        </w:rPr>
        <w:t>nce</w:t>
      </w:r>
      <w:proofErr w:type="spellEnd"/>
      <w:r w:rsidRPr="00C04273">
        <w:rPr>
          <w:rFonts w:asciiTheme="minorHAnsi" w:hAnsiTheme="minorHAnsi" w:cstheme="minorHAnsi"/>
          <w:color w:val="000000"/>
          <w:sz w:val="27"/>
          <w:szCs w:val="27"/>
        </w:rPr>
        <w:t xml:space="preserve"> again, we’ve negotiated premium increases that are among the lowest in the nation.  On top of the success we saw last year in keeping increases low, this is another sign how aggressive and successful we’ve been in maintaining quality of care and being diligent about costs on behalf of our members.”</w:t>
      </w:r>
    </w:p>
    <w:p w14:paraId="71AABB72" w14:textId="6FC413B1" w:rsidR="00C04273" w:rsidRPr="00C04273" w:rsidRDefault="00C04273"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r w:rsidRPr="00C04273">
        <w:rPr>
          <w:rFonts w:asciiTheme="minorHAnsi" w:hAnsiTheme="minorHAnsi" w:cstheme="minorHAnsi"/>
          <w:color w:val="000000"/>
          <w:sz w:val="27"/>
          <w:szCs w:val="27"/>
        </w:rPr>
        <w:t xml:space="preserve">If you’re in CalPERS medical, the new rates take effect on January 1, 2019.  Nationwide, healthcare costs for employers and insurers are projected to increase 6% in 2019.  </w:t>
      </w:r>
    </w:p>
    <w:p w14:paraId="6CD2BD5B" w14:textId="4A466107" w:rsidR="00C04273" w:rsidRPr="00C04273" w:rsidRDefault="00C04273"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r w:rsidRPr="00C04273">
        <w:rPr>
          <w:rFonts w:asciiTheme="minorHAnsi" w:hAnsiTheme="minorHAnsi" w:cstheme="minorHAnsi"/>
          <w:color w:val="000000"/>
          <w:sz w:val="27"/>
          <w:szCs w:val="27"/>
        </w:rPr>
        <w:t xml:space="preserve">Everyone should pay close attention to their health plan options during open enrollment.  Some common plans, like Kaiser, have decreased in cost.  Others, like Blue Shield Access+, have increased by around 9%, depending on the region.  The largest increases were to the Anthem HMO Traditional and PERS Care plans.  </w:t>
      </w:r>
    </w:p>
    <w:p w14:paraId="6AF09202" w14:textId="77777777" w:rsidR="00A27B55" w:rsidRDefault="00B54CD4"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r w:rsidRPr="00C04273">
        <w:rPr>
          <w:rFonts w:asciiTheme="minorHAnsi" w:hAnsiTheme="minorHAnsi" w:cstheme="minorHAnsi"/>
          <w:color w:val="000000"/>
          <w:sz w:val="27"/>
          <w:szCs w:val="27"/>
        </w:rPr>
        <w:t>If you want more information</w:t>
      </w:r>
      <w:r w:rsidR="00C04273" w:rsidRPr="00C04273">
        <w:rPr>
          <w:rFonts w:asciiTheme="minorHAnsi" w:hAnsiTheme="minorHAnsi" w:cstheme="minorHAnsi"/>
          <w:color w:val="000000"/>
          <w:sz w:val="27"/>
          <w:szCs w:val="27"/>
        </w:rPr>
        <w:t>,</w:t>
      </w:r>
      <w:r w:rsidRPr="00C04273">
        <w:rPr>
          <w:rFonts w:asciiTheme="minorHAnsi" w:hAnsiTheme="minorHAnsi" w:cstheme="minorHAnsi"/>
          <w:color w:val="000000"/>
          <w:sz w:val="27"/>
          <w:szCs w:val="27"/>
        </w:rPr>
        <w:t xml:space="preserve"> please contact </w:t>
      </w:r>
      <w:r w:rsidR="00C04273" w:rsidRPr="00C04273">
        <w:rPr>
          <w:rFonts w:asciiTheme="minorHAnsi" w:hAnsiTheme="minorHAnsi" w:cstheme="minorHAnsi"/>
          <w:color w:val="000000"/>
          <w:sz w:val="27"/>
          <w:szCs w:val="27"/>
        </w:rPr>
        <w:t xml:space="preserve">staff or visit the CalPERS website:  </w:t>
      </w:r>
    </w:p>
    <w:p w14:paraId="3A96A160" w14:textId="502E96F0" w:rsidR="00C04273" w:rsidRPr="00C04273" w:rsidRDefault="00243DC7" w:rsidP="00B54CD4">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7"/>
          <w:szCs w:val="27"/>
        </w:rPr>
      </w:pPr>
      <w:hyperlink r:id="rId11" w:history="1">
        <w:r w:rsidR="00AD4861" w:rsidRPr="0058107C">
          <w:rPr>
            <w:rStyle w:val="Hyperlink"/>
            <w:rFonts w:asciiTheme="minorHAnsi" w:hAnsiTheme="minorHAnsi" w:cstheme="minorHAnsi"/>
            <w:sz w:val="27"/>
            <w:szCs w:val="27"/>
          </w:rPr>
          <w:t>https://www.calpers.ca.gov/page/newsroom/calpers-news/2018/2019-health-rates-approved</w:t>
        </w:r>
      </w:hyperlink>
      <w:r w:rsidR="00C04273" w:rsidRPr="00C04273">
        <w:rPr>
          <w:rFonts w:asciiTheme="minorHAnsi" w:hAnsiTheme="minorHAnsi" w:cstheme="minorHAnsi"/>
          <w:color w:val="000000"/>
          <w:sz w:val="27"/>
          <w:szCs w:val="27"/>
        </w:rPr>
        <w:t xml:space="preserve"> </w:t>
      </w:r>
    </w:p>
    <w:p w14:paraId="68AC9D16" w14:textId="3202E726" w:rsidR="007F4628" w:rsidRDefault="007F4628" w:rsidP="00CF5AAC">
      <w:pPr>
        <w:spacing w:after="0" w:line="240" w:lineRule="auto"/>
        <w:jc w:val="both"/>
        <w:rPr>
          <w:rFonts w:cstheme="minorHAnsi"/>
          <w:sz w:val="26"/>
          <w:szCs w:val="26"/>
        </w:rPr>
        <w:sectPr w:rsidR="007F4628" w:rsidSect="00B54CD4">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p>
    <w:p w14:paraId="2EBF8EC9" w14:textId="77777777" w:rsidR="007F4628" w:rsidRPr="003742AA" w:rsidRDefault="007F4628" w:rsidP="007F4628">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rFonts w:eastAsia="Times New Roman" w:cstheme="minorHAnsi"/>
          <w:noProof/>
          <w:sz w:val="24"/>
          <w:szCs w:val="24"/>
        </w:rPr>
        <w:lastRenderedPageBreak/>
        <mc:AlternateContent>
          <mc:Choice Requires="wps">
            <w:drawing>
              <wp:anchor distT="0" distB="0" distL="114300" distR="114300" simplePos="0" relativeHeight="251672576" behindDoc="0" locked="0" layoutInCell="1" allowOverlap="1" wp14:anchorId="4F949485" wp14:editId="12129AB2">
                <wp:simplePos x="0" y="0"/>
                <wp:positionH relativeFrom="column">
                  <wp:posOffset>-219075</wp:posOffset>
                </wp:positionH>
                <wp:positionV relativeFrom="paragraph">
                  <wp:posOffset>877570</wp:posOffset>
                </wp:positionV>
                <wp:extent cx="1123950" cy="158115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123950" cy="1581150"/>
                        </a:xfrm>
                        <a:prstGeom prst="rect">
                          <a:avLst/>
                        </a:prstGeom>
                        <a:solidFill>
                          <a:srgbClr val="5B9BD5"/>
                        </a:solidFill>
                        <a:ln w="12700" cap="flat" cmpd="sng" algn="ctr">
                          <a:solidFill>
                            <a:srgbClr val="5B9BD5">
                              <a:shade val="50000"/>
                            </a:srgbClr>
                          </a:solidFill>
                          <a:prstDash val="solid"/>
                          <a:miter lim="800000"/>
                        </a:ln>
                        <a:effectLst/>
                      </wps:spPr>
                      <wps:txbx>
                        <w:txbxContent>
                          <w:p w14:paraId="156DDE98" w14:textId="77777777" w:rsidR="007F4628" w:rsidRPr="008D4B16" w:rsidRDefault="007F4628" w:rsidP="007F4628">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33013527" w14:textId="77777777" w:rsidR="007F4628" w:rsidRPr="008D4B16" w:rsidRDefault="007F4628" w:rsidP="007F4628">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F949485" id="_x0000_t202" coordsize="21600,21600" o:spt="202" path="m,l,21600r21600,l21600,xe">
                <v:stroke joinstyle="miter"/>
                <v:path gradientshapeok="t" o:connecttype="rect"/>
              </v:shapetype>
              <v:shape id="Text Box 3" o:spid="_x0000_s1026" type="#_x0000_t202" style="position:absolute;left:0;text-align:left;margin-left:-17.25pt;margin-top:69.1pt;width:88.5pt;height:1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" fillcolor="#5b9bd5" strokecolor="#41719c" strokeweight="1pt">
                <v:textbox>
                  <w:txbxContent>
                    <w:p w14:paraId="156DDE98" w14:textId="77777777" w:rsidR="007F4628" w:rsidRPr="008D4B16" w:rsidRDefault="007F4628" w:rsidP="007F4628">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33013527" w14:textId="77777777" w:rsidR="007F4628" w:rsidRPr="008D4B16" w:rsidRDefault="007F4628" w:rsidP="007F4628">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v:textbox>
                <w10:wrap type="square"/>
              </v:shape>
            </w:pict>
          </mc:Fallback>
        </mc:AlternateContent>
      </w:r>
      <w:r w:rsidRPr="003742AA">
        <w:rPr>
          <w:rFonts w:eastAsia="Times New Roman" w:cstheme="minorHAnsi"/>
          <w:noProof/>
          <w:sz w:val="24"/>
          <w:szCs w:val="24"/>
        </w:rPr>
        <w:t xml:space="preserve">On the heels of </w:t>
      </w:r>
      <w:r w:rsidRPr="003742AA">
        <w:rPr>
          <w:rFonts w:eastAsia="Times New Roman" w:cstheme="minorHAnsi"/>
          <w:i/>
          <w:noProof/>
          <w:sz w:val="24"/>
          <w:szCs w:val="24"/>
        </w:rPr>
        <w:t>Janus</w:t>
      </w:r>
      <w:r w:rsidRPr="003742AA">
        <w:rPr>
          <w:rFonts w:eastAsia="Times New Roman" w:cstheme="minorHAnsi"/>
          <w:noProof/>
          <w:sz w:val="24"/>
          <w:szCs w:val="24"/>
        </w:rPr>
        <w:t xml:space="preserve">, within hours, the Governor signed into law SB 866.  </w:t>
      </w:r>
      <w:r w:rsidRPr="003742AA">
        <w:rPr>
          <w:sz w:val="24"/>
          <w:szCs w:val="24"/>
        </w:rPr>
        <w:t xml:space="preserve">The new law applies to all public agencies for the purposes of salary and wage deductions in relation to employee organization membership dues and related fees. It amends and creates a new state law regulating the following:  </w:t>
      </w:r>
    </w:p>
    <w:p w14:paraId="05D57670" w14:textId="24B43467" w:rsidR="007F4628" w:rsidRPr="003742AA" w:rsidRDefault="007F4628" w:rsidP="007F4628">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sz w:val="24"/>
          <w:szCs w:val="24"/>
        </w:rPr>
        <w:t>(1) Requires employers to honor an employee organization’s request to deduct dues and member-related fees.  This is new</w:t>
      </w:r>
      <w:r w:rsidR="00861BF3">
        <w:rPr>
          <w:sz w:val="24"/>
          <w:szCs w:val="24"/>
        </w:rPr>
        <w:t>.</w:t>
      </w:r>
      <w:r w:rsidRPr="003742AA">
        <w:rPr>
          <w:sz w:val="24"/>
          <w:szCs w:val="24"/>
        </w:rPr>
        <w:t xml:space="preserve"> </w:t>
      </w:r>
      <w:r w:rsidR="00861BF3">
        <w:rPr>
          <w:sz w:val="24"/>
          <w:szCs w:val="24"/>
        </w:rPr>
        <w:t xml:space="preserve"> B</w:t>
      </w:r>
      <w:r w:rsidRPr="003742AA">
        <w:rPr>
          <w:sz w:val="24"/>
          <w:szCs w:val="24"/>
        </w:rPr>
        <w:t xml:space="preserve">efore, most employers tracked this information themselves and required signed copies of membership cards; </w:t>
      </w:r>
    </w:p>
    <w:p w14:paraId="692D49C0" w14:textId="1504ED4F" w:rsidR="007F4628" w:rsidRPr="003742AA" w:rsidRDefault="007F4628" w:rsidP="007F4628">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sz w:val="24"/>
          <w:szCs w:val="24"/>
        </w:rPr>
        <w:t xml:space="preserve">(2) Establishes how employers communicate with employees about their rights to join or support, or refrain from joining or supporting, employee organizations.  This means they must meet and confer with the Association regarding any mass communication they want to share with employees regarding membership in the </w:t>
      </w:r>
      <w:r w:rsidR="00A779BD">
        <w:rPr>
          <w:sz w:val="24"/>
          <w:szCs w:val="24"/>
        </w:rPr>
        <w:t>associ</w:t>
      </w:r>
      <w:r w:rsidRPr="003742AA">
        <w:rPr>
          <w:sz w:val="24"/>
          <w:szCs w:val="24"/>
        </w:rPr>
        <w:t xml:space="preserve">ation; </w:t>
      </w:r>
    </w:p>
    <w:p w14:paraId="09734B41" w14:textId="7910BA1A" w:rsidR="007F4628" w:rsidRPr="003742AA" w:rsidRDefault="007F4628" w:rsidP="007F4628">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sz w:val="24"/>
          <w:szCs w:val="24"/>
        </w:rPr>
        <w:t xml:space="preserve">(3) Prohibits employers from deterring or discouraging employees from becoming or remaining members of employee organizations; </w:t>
      </w:r>
    </w:p>
    <w:p w14:paraId="271AC3CC" w14:textId="77777777" w:rsidR="007F4628" w:rsidRPr="003742AA" w:rsidRDefault="007F4628" w:rsidP="007F4628">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sz w:val="24"/>
          <w:szCs w:val="24"/>
        </w:rPr>
        <w:t>(4) Prohibits employers from disclosing the location of the new employee orientations to anyone other than the employees, the Association or vendors that are contracted to provide services.  AB 119 grants the Association the exclusive right to access during new employee orientations.</w:t>
      </w:r>
    </w:p>
    <w:p w14:paraId="48D63204" w14:textId="00650028" w:rsidR="007F4628" w:rsidRPr="003742AA" w:rsidRDefault="007F4628" w:rsidP="007F4628">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sz w:val="24"/>
          <w:szCs w:val="24"/>
        </w:rPr>
        <w:t xml:space="preserve">Your Association is now tasked with notifying your agency if an employee joins or drops membership in the Association. Then and only then will the Agency be able to make or stop deductions from employee’s wages. Your Association should also be direct with employees about the many benefits of Association membership. </w:t>
      </w:r>
      <w:r w:rsidR="00A779BD">
        <w:rPr>
          <w:sz w:val="24"/>
          <w:szCs w:val="24"/>
        </w:rPr>
        <w:t xml:space="preserve"> </w:t>
      </w:r>
      <w:r w:rsidRPr="003742AA">
        <w:rPr>
          <w:sz w:val="24"/>
          <w:szCs w:val="24"/>
        </w:rPr>
        <w:t xml:space="preserve">Unlike the big unions, almost all your dues money goes directly to helping your members. </w:t>
      </w:r>
      <w:r w:rsidR="00A779BD">
        <w:rPr>
          <w:sz w:val="24"/>
          <w:szCs w:val="24"/>
        </w:rPr>
        <w:t xml:space="preserve"> </w:t>
      </w:r>
      <w:r w:rsidRPr="003742AA">
        <w:rPr>
          <w:sz w:val="24"/>
          <w:szCs w:val="24"/>
        </w:rPr>
        <w:t>Just because non-members might get the benefit of the MOU doesn’t mean they get to freeload on the benefits of a union contract AND get help with grievances and disciplinary appeals from paid staff.  It’s important to note that in California, the Duty of Fair Representation still exists, and it would likely take a change in state law before a non-member could be denied any union representation</w:t>
      </w:r>
      <w:r w:rsidR="00A779BD">
        <w:rPr>
          <w:sz w:val="24"/>
          <w:szCs w:val="24"/>
        </w:rPr>
        <w:t xml:space="preserve"> altogether</w:t>
      </w:r>
      <w:r w:rsidRPr="003742AA">
        <w:rPr>
          <w:sz w:val="24"/>
          <w:szCs w:val="24"/>
        </w:rPr>
        <w:t>.</w:t>
      </w:r>
    </w:p>
    <w:p w14:paraId="75908018" w14:textId="77777777" w:rsidR="00A779BD" w:rsidRDefault="007F4628" w:rsidP="00705843">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sz w:val="24"/>
          <w:szCs w:val="24"/>
        </w:rPr>
      </w:pPr>
      <w:r w:rsidRPr="003742AA">
        <w:rPr>
          <w:sz w:val="24"/>
          <w:szCs w:val="24"/>
        </w:rPr>
        <w:t>Your Association should continue to be a part of new employee orientations</w:t>
      </w:r>
      <w:r w:rsidR="00A779BD">
        <w:rPr>
          <w:sz w:val="24"/>
          <w:szCs w:val="24"/>
        </w:rPr>
        <w:t xml:space="preserve"> and establish new employee protocols. Your Association should also </w:t>
      </w:r>
      <w:r w:rsidRPr="003742AA">
        <w:rPr>
          <w:sz w:val="24"/>
          <w:szCs w:val="24"/>
        </w:rPr>
        <w:t xml:space="preserve">review their MOUs and bylaws for maintenance of membership, agency shop, dues deduction, </w:t>
      </w:r>
      <w:r w:rsidR="00A779BD">
        <w:rPr>
          <w:sz w:val="24"/>
          <w:szCs w:val="24"/>
        </w:rPr>
        <w:t xml:space="preserve">and </w:t>
      </w:r>
      <w:r w:rsidRPr="003742AA">
        <w:rPr>
          <w:sz w:val="24"/>
          <w:szCs w:val="24"/>
        </w:rPr>
        <w:t xml:space="preserve">indemnification or “hold harmless” clauses.  Your organization can negotiate with your Agency over all these matters.  </w:t>
      </w:r>
    </w:p>
    <w:p w14:paraId="670718CE" w14:textId="40A4FCFD" w:rsidR="00B54CD4" w:rsidRDefault="007F4628" w:rsidP="00705843">
      <w:pPr>
        <w:pBdr>
          <w:top w:val="triple" w:sz="4" w:space="5" w:color="5497D4"/>
          <w:left w:val="triple" w:sz="4" w:space="5" w:color="5497D4"/>
          <w:bottom w:val="triple" w:sz="4" w:space="5" w:color="5497D4"/>
          <w:right w:val="triple" w:sz="4" w:space="5" w:color="5497D4"/>
        </w:pBdr>
        <w:spacing w:before="100" w:beforeAutospacing="1" w:after="100" w:afterAutospacing="1" w:line="240" w:lineRule="auto"/>
        <w:jc w:val="both"/>
        <w:rPr>
          <w:rFonts w:cstheme="minorHAnsi"/>
          <w:sz w:val="26"/>
          <w:szCs w:val="26"/>
        </w:rPr>
      </w:pPr>
      <w:r w:rsidRPr="003742AA">
        <w:rPr>
          <w:sz w:val="24"/>
          <w:szCs w:val="24"/>
        </w:rPr>
        <w:t xml:space="preserve">Your Association should also begin to keep detailed records, including any signed membership authorization cards, any declination forms from non-members, accurate lists of members and non-members each payroll period, and organization bylaws with any maintenance of membership provision </w:t>
      </w:r>
      <w:r w:rsidR="00A779BD">
        <w:rPr>
          <w:sz w:val="24"/>
          <w:szCs w:val="24"/>
        </w:rPr>
        <w:t xml:space="preserve">that </w:t>
      </w:r>
      <w:r w:rsidRPr="003742AA">
        <w:rPr>
          <w:sz w:val="24"/>
          <w:szCs w:val="24"/>
        </w:rPr>
        <w:t>provid</w:t>
      </w:r>
      <w:r w:rsidR="00A779BD">
        <w:rPr>
          <w:sz w:val="24"/>
          <w:szCs w:val="24"/>
        </w:rPr>
        <w:t>es</w:t>
      </w:r>
      <w:r w:rsidRPr="003742AA">
        <w:rPr>
          <w:sz w:val="24"/>
          <w:szCs w:val="24"/>
        </w:rPr>
        <w:t xml:space="preserve"> for a specific window period for opting out of membership.</w:t>
      </w:r>
    </w:p>
    <w:sectPr w:rsidR="00B54CD4" w:rsidSect="007F4628">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D650C" w14:textId="77777777" w:rsidR="00B74AE0" w:rsidRDefault="00B74AE0">
      <w:pPr>
        <w:spacing w:after="0" w:line="240" w:lineRule="auto"/>
      </w:pPr>
      <w:r>
        <w:separator/>
      </w:r>
    </w:p>
  </w:endnote>
  <w:endnote w:type="continuationSeparator" w:id="0">
    <w:p w14:paraId="5CF58A79" w14:textId="77777777" w:rsidR="00B74AE0" w:rsidRDefault="00B7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6176"/>
      <w:docPartObj>
        <w:docPartGallery w:val="Page Numbers (Bottom of Page)"/>
        <w:docPartUnique/>
      </w:docPartObj>
    </w:sdtPr>
    <w:sdtEndPr>
      <w:rPr>
        <w:noProof/>
      </w:rPr>
    </w:sdtEndPr>
    <w:sdtContent>
      <w:p w14:paraId="5F161329" w14:textId="77777777" w:rsidR="0060570E" w:rsidRDefault="00F3660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CEA00A1" w14:textId="77777777" w:rsidR="0060570E" w:rsidRDefault="00243DC7">
    <w:pPr>
      <w:pStyle w:val="Footer"/>
    </w:pPr>
  </w:p>
  <w:p w14:paraId="6827208A" w14:textId="77777777" w:rsidR="00912773" w:rsidRDefault="00243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75CD" w14:textId="77777777" w:rsidR="00B74AE0" w:rsidRDefault="00B74AE0">
      <w:pPr>
        <w:spacing w:after="0" w:line="240" w:lineRule="auto"/>
      </w:pPr>
      <w:r>
        <w:separator/>
      </w:r>
    </w:p>
  </w:footnote>
  <w:footnote w:type="continuationSeparator" w:id="0">
    <w:p w14:paraId="1F97047B" w14:textId="77777777" w:rsidR="00B74AE0" w:rsidRDefault="00B7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245"/>
    <w:multiLevelType w:val="hybridMultilevel"/>
    <w:tmpl w:val="9354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424C"/>
    <w:multiLevelType w:val="hybridMultilevel"/>
    <w:tmpl w:val="299A79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04E9D"/>
    <w:multiLevelType w:val="hybridMultilevel"/>
    <w:tmpl w:val="2DE0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7E72"/>
    <w:multiLevelType w:val="hybridMultilevel"/>
    <w:tmpl w:val="D8C238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D81D24"/>
    <w:multiLevelType w:val="hybridMultilevel"/>
    <w:tmpl w:val="4A202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1C84B21"/>
    <w:multiLevelType w:val="hybridMultilevel"/>
    <w:tmpl w:val="533A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2096E"/>
    <w:multiLevelType w:val="hybridMultilevel"/>
    <w:tmpl w:val="F24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7"/>
    <w:rsid w:val="00001546"/>
    <w:rsid w:val="0000725B"/>
    <w:rsid w:val="00022E8E"/>
    <w:rsid w:val="00024A59"/>
    <w:rsid w:val="00025AE8"/>
    <w:rsid w:val="00027DEF"/>
    <w:rsid w:val="00032275"/>
    <w:rsid w:val="00034C18"/>
    <w:rsid w:val="00073178"/>
    <w:rsid w:val="00083E69"/>
    <w:rsid w:val="000932AF"/>
    <w:rsid w:val="000B784A"/>
    <w:rsid w:val="000C25A0"/>
    <w:rsid w:val="00137BF3"/>
    <w:rsid w:val="00162254"/>
    <w:rsid w:val="00183C8C"/>
    <w:rsid w:val="00185011"/>
    <w:rsid w:val="00186408"/>
    <w:rsid w:val="00187350"/>
    <w:rsid w:val="001D1896"/>
    <w:rsid w:val="001D399C"/>
    <w:rsid w:val="001E0ACF"/>
    <w:rsid w:val="001F62F7"/>
    <w:rsid w:val="0020141E"/>
    <w:rsid w:val="002078AD"/>
    <w:rsid w:val="002142B0"/>
    <w:rsid w:val="00220842"/>
    <w:rsid w:val="00227E1D"/>
    <w:rsid w:val="00243DC7"/>
    <w:rsid w:val="00251F7A"/>
    <w:rsid w:val="00260E94"/>
    <w:rsid w:val="00284D06"/>
    <w:rsid w:val="00285BE8"/>
    <w:rsid w:val="002976FC"/>
    <w:rsid w:val="002B0322"/>
    <w:rsid w:val="002B68C4"/>
    <w:rsid w:val="002D14CA"/>
    <w:rsid w:val="002D241D"/>
    <w:rsid w:val="002D305B"/>
    <w:rsid w:val="002D53DF"/>
    <w:rsid w:val="002E30F9"/>
    <w:rsid w:val="003131B8"/>
    <w:rsid w:val="00317DED"/>
    <w:rsid w:val="00331B7A"/>
    <w:rsid w:val="00331F57"/>
    <w:rsid w:val="00346371"/>
    <w:rsid w:val="003668FC"/>
    <w:rsid w:val="003742AA"/>
    <w:rsid w:val="003A1AF1"/>
    <w:rsid w:val="003B1FD1"/>
    <w:rsid w:val="003C429B"/>
    <w:rsid w:val="003D1933"/>
    <w:rsid w:val="003F33A9"/>
    <w:rsid w:val="00402FE5"/>
    <w:rsid w:val="00410BE7"/>
    <w:rsid w:val="0043301A"/>
    <w:rsid w:val="00436A7B"/>
    <w:rsid w:val="00475891"/>
    <w:rsid w:val="00485879"/>
    <w:rsid w:val="00490A42"/>
    <w:rsid w:val="00496DA6"/>
    <w:rsid w:val="004A0FDA"/>
    <w:rsid w:val="004A7D45"/>
    <w:rsid w:val="004B5BFF"/>
    <w:rsid w:val="004D04B0"/>
    <w:rsid w:val="004D064A"/>
    <w:rsid w:val="004D4825"/>
    <w:rsid w:val="004D6895"/>
    <w:rsid w:val="004E4078"/>
    <w:rsid w:val="004F1541"/>
    <w:rsid w:val="005004EA"/>
    <w:rsid w:val="005350DD"/>
    <w:rsid w:val="00564159"/>
    <w:rsid w:val="005A1ADD"/>
    <w:rsid w:val="005B3FE9"/>
    <w:rsid w:val="005B49DD"/>
    <w:rsid w:val="005C2E4B"/>
    <w:rsid w:val="005E13FE"/>
    <w:rsid w:val="005E5EBC"/>
    <w:rsid w:val="00601AF1"/>
    <w:rsid w:val="00604B65"/>
    <w:rsid w:val="006065C6"/>
    <w:rsid w:val="00613F4F"/>
    <w:rsid w:val="00615014"/>
    <w:rsid w:val="00621E71"/>
    <w:rsid w:val="00636323"/>
    <w:rsid w:val="00641301"/>
    <w:rsid w:val="006508BD"/>
    <w:rsid w:val="00663BC0"/>
    <w:rsid w:val="00670ACB"/>
    <w:rsid w:val="006723A3"/>
    <w:rsid w:val="006850F1"/>
    <w:rsid w:val="00690250"/>
    <w:rsid w:val="006C038B"/>
    <w:rsid w:val="006F78E7"/>
    <w:rsid w:val="00701497"/>
    <w:rsid w:val="00705843"/>
    <w:rsid w:val="00717A48"/>
    <w:rsid w:val="00723BFD"/>
    <w:rsid w:val="00730F93"/>
    <w:rsid w:val="00734742"/>
    <w:rsid w:val="00735FE1"/>
    <w:rsid w:val="0076073D"/>
    <w:rsid w:val="00783EF2"/>
    <w:rsid w:val="00787C23"/>
    <w:rsid w:val="007905CE"/>
    <w:rsid w:val="007A1EA1"/>
    <w:rsid w:val="007B2CD9"/>
    <w:rsid w:val="007D6A68"/>
    <w:rsid w:val="007E045D"/>
    <w:rsid w:val="007F4628"/>
    <w:rsid w:val="007F6B13"/>
    <w:rsid w:val="00817B0A"/>
    <w:rsid w:val="0084017A"/>
    <w:rsid w:val="0086094A"/>
    <w:rsid w:val="00861BF3"/>
    <w:rsid w:val="00863EEB"/>
    <w:rsid w:val="00883663"/>
    <w:rsid w:val="00886FDD"/>
    <w:rsid w:val="0089637F"/>
    <w:rsid w:val="008A4667"/>
    <w:rsid w:val="008A7CD8"/>
    <w:rsid w:val="008D20DB"/>
    <w:rsid w:val="008D5865"/>
    <w:rsid w:val="008E29FD"/>
    <w:rsid w:val="008F63D2"/>
    <w:rsid w:val="00901907"/>
    <w:rsid w:val="00920B5B"/>
    <w:rsid w:val="009220E4"/>
    <w:rsid w:val="009250D0"/>
    <w:rsid w:val="0094370D"/>
    <w:rsid w:val="00955A96"/>
    <w:rsid w:val="00970D99"/>
    <w:rsid w:val="00996E7A"/>
    <w:rsid w:val="009978A8"/>
    <w:rsid w:val="009A4114"/>
    <w:rsid w:val="009B1B06"/>
    <w:rsid w:val="009C63D9"/>
    <w:rsid w:val="009D0B39"/>
    <w:rsid w:val="009E00B5"/>
    <w:rsid w:val="009E6B70"/>
    <w:rsid w:val="00A14CDD"/>
    <w:rsid w:val="00A1694F"/>
    <w:rsid w:val="00A17502"/>
    <w:rsid w:val="00A25BE6"/>
    <w:rsid w:val="00A27B55"/>
    <w:rsid w:val="00A31620"/>
    <w:rsid w:val="00A55405"/>
    <w:rsid w:val="00A719BD"/>
    <w:rsid w:val="00A779BD"/>
    <w:rsid w:val="00A86FB8"/>
    <w:rsid w:val="00AB2EDC"/>
    <w:rsid w:val="00AB4307"/>
    <w:rsid w:val="00AB68DE"/>
    <w:rsid w:val="00AD087A"/>
    <w:rsid w:val="00AD0E7C"/>
    <w:rsid w:val="00AD4861"/>
    <w:rsid w:val="00AD6CB4"/>
    <w:rsid w:val="00B0287B"/>
    <w:rsid w:val="00B33F15"/>
    <w:rsid w:val="00B501A4"/>
    <w:rsid w:val="00B54CD4"/>
    <w:rsid w:val="00B62328"/>
    <w:rsid w:val="00B74AE0"/>
    <w:rsid w:val="00B82668"/>
    <w:rsid w:val="00B8490B"/>
    <w:rsid w:val="00BA7836"/>
    <w:rsid w:val="00BB046E"/>
    <w:rsid w:val="00BB1007"/>
    <w:rsid w:val="00BC1300"/>
    <w:rsid w:val="00BE7153"/>
    <w:rsid w:val="00C04273"/>
    <w:rsid w:val="00C25D47"/>
    <w:rsid w:val="00C759F6"/>
    <w:rsid w:val="00C863CB"/>
    <w:rsid w:val="00CB0D5F"/>
    <w:rsid w:val="00CD4CE1"/>
    <w:rsid w:val="00CE3AC9"/>
    <w:rsid w:val="00CE7F25"/>
    <w:rsid w:val="00CF18DF"/>
    <w:rsid w:val="00CF3E04"/>
    <w:rsid w:val="00CF5AAC"/>
    <w:rsid w:val="00CF7378"/>
    <w:rsid w:val="00D04DF2"/>
    <w:rsid w:val="00D10165"/>
    <w:rsid w:val="00D11C09"/>
    <w:rsid w:val="00D14B1C"/>
    <w:rsid w:val="00D24D98"/>
    <w:rsid w:val="00D343E2"/>
    <w:rsid w:val="00D41377"/>
    <w:rsid w:val="00D51FEA"/>
    <w:rsid w:val="00D5200A"/>
    <w:rsid w:val="00D62656"/>
    <w:rsid w:val="00D64CFB"/>
    <w:rsid w:val="00D72524"/>
    <w:rsid w:val="00D768C0"/>
    <w:rsid w:val="00D82CA2"/>
    <w:rsid w:val="00D837EA"/>
    <w:rsid w:val="00D902CC"/>
    <w:rsid w:val="00DB32B4"/>
    <w:rsid w:val="00DB52E2"/>
    <w:rsid w:val="00DB6EB0"/>
    <w:rsid w:val="00DD6C73"/>
    <w:rsid w:val="00DF1A25"/>
    <w:rsid w:val="00DF6ED0"/>
    <w:rsid w:val="00E12108"/>
    <w:rsid w:val="00E1335B"/>
    <w:rsid w:val="00E323E9"/>
    <w:rsid w:val="00E401CC"/>
    <w:rsid w:val="00E443AB"/>
    <w:rsid w:val="00E44A45"/>
    <w:rsid w:val="00E5301B"/>
    <w:rsid w:val="00E62466"/>
    <w:rsid w:val="00E8698A"/>
    <w:rsid w:val="00EA117E"/>
    <w:rsid w:val="00EA3FB1"/>
    <w:rsid w:val="00EB1D1F"/>
    <w:rsid w:val="00EB2A1F"/>
    <w:rsid w:val="00EC3FF8"/>
    <w:rsid w:val="00F06440"/>
    <w:rsid w:val="00F21560"/>
    <w:rsid w:val="00F3660E"/>
    <w:rsid w:val="00F71BFF"/>
    <w:rsid w:val="00F8656F"/>
    <w:rsid w:val="00F91A50"/>
    <w:rsid w:val="00F964EA"/>
    <w:rsid w:val="00FA3C7F"/>
    <w:rsid w:val="00FC3AC2"/>
    <w:rsid w:val="00FD280F"/>
    <w:rsid w:val="00FD31D7"/>
    <w:rsid w:val="00FF2EEA"/>
    <w:rsid w:val="00FF7969"/>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506A"/>
  <w15:chartTrackingRefBased/>
  <w15:docId w15:val="{24DB71DF-F905-4A24-B507-73C99EAD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4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49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97"/>
  </w:style>
  <w:style w:type="paragraph" w:styleId="NoSpacing">
    <w:name w:val="No Spacing"/>
    <w:basedOn w:val="Normal"/>
    <w:uiPriority w:val="1"/>
    <w:qFormat/>
    <w:rsid w:val="00701497"/>
    <w:pPr>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701497"/>
    <w:rPr>
      <w:color w:val="0563C1" w:themeColor="hyperlink"/>
      <w:u w:val="single"/>
    </w:rPr>
  </w:style>
  <w:style w:type="character" w:styleId="Strong">
    <w:name w:val="Strong"/>
    <w:uiPriority w:val="22"/>
    <w:qFormat/>
    <w:rsid w:val="00701497"/>
    <w:rPr>
      <w:b/>
      <w:bCs/>
    </w:rPr>
  </w:style>
  <w:style w:type="paragraph" w:styleId="ListParagraph">
    <w:name w:val="List Paragraph"/>
    <w:basedOn w:val="Normal"/>
    <w:uiPriority w:val="34"/>
    <w:qFormat/>
    <w:rsid w:val="00E323E9"/>
    <w:pPr>
      <w:ind w:left="720"/>
      <w:contextualSpacing/>
    </w:pPr>
  </w:style>
  <w:style w:type="character" w:styleId="UnresolvedMention">
    <w:name w:val="Unresolved Mention"/>
    <w:basedOn w:val="DefaultParagraphFont"/>
    <w:uiPriority w:val="99"/>
    <w:semiHidden/>
    <w:unhideWhenUsed/>
    <w:rsid w:val="007E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2202">
      <w:bodyDiv w:val="1"/>
      <w:marLeft w:val="0"/>
      <w:marRight w:val="0"/>
      <w:marTop w:val="0"/>
      <w:marBottom w:val="0"/>
      <w:divBdr>
        <w:top w:val="none" w:sz="0" w:space="0" w:color="auto"/>
        <w:left w:val="none" w:sz="0" w:space="0" w:color="auto"/>
        <w:bottom w:val="none" w:sz="0" w:space="0" w:color="auto"/>
        <w:right w:val="none" w:sz="0" w:space="0" w:color="auto"/>
      </w:divBdr>
    </w:div>
    <w:div w:id="372733876">
      <w:bodyDiv w:val="1"/>
      <w:marLeft w:val="0"/>
      <w:marRight w:val="0"/>
      <w:marTop w:val="0"/>
      <w:marBottom w:val="0"/>
      <w:divBdr>
        <w:top w:val="none" w:sz="0" w:space="0" w:color="auto"/>
        <w:left w:val="none" w:sz="0" w:space="0" w:color="auto"/>
        <w:bottom w:val="none" w:sz="0" w:space="0" w:color="auto"/>
        <w:right w:val="none" w:sz="0" w:space="0" w:color="auto"/>
      </w:divBdr>
    </w:div>
    <w:div w:id="457072725">
      <w:bodyDiv w:val="1"/>
      <w:marLeft w:val="0"/>
      <w:marRight w:val="0"/>
      <w:marTop w:val="0"/>
      <w:marBottom w:val="0"/>
      <w:divBdr>
        <w:top w:val="none" w:sz="0" w:space="0" w:color="auto"/>
        <w:left w:val="none" w:sz="0" w:space="0" w:color="auto"/>
        <w:bottom w:val="none" w:sz="0" w:space="0" w:color="auto"/>
        <w:right w:val="none" w:sz="0" w:space="0" w:color="auto"/>
      </w:divBdr>
    </w:div>
    <w:div w:id="547882102">
      <w:bodyDiv w:val="1"/>
      <w:marLeft w:val="0"/>
      <w:marRight w:val="0"/>
      <w:marTop w:val="0"/>
      <w:marBottom w:val="0"/>
      <w:divBdr>
        <w:top w:val="none" w:sz="0" w:space="0" w:color="auto"/>
        <w:left w:val="none" w:sz="0" w:space="0" w:color="auto"/>
        <w:bottom w:val="none" w:sz="0" w:space="0" w:color="auto"/>
        <w:right w:val="none" w:sz="0" w:space="0" w:color="auto"/>
      </w:divBdr>
    </w:div>
    <w:div w:id="765227037">
      <w:bodyDiv w:val="1"/>
      <w:marLeft w:val="0"/>
      <w:marRight w:val="0"/>
      <w:marTop w:val="0"/>
      <w:marBottom w:val="0"/>
      <w:divBdr>
        <w:top w:val="none" w:sz="0" w:space="0" w:color="auto"/>
        <w:left w:val="none" w:sz="0" w:space="0" w:color="auto"/>
        <w:bottom w:val="none" w:sz="0" w:space="0" w:color="auto"/>
        <w:right w:val="none" w:sz="0" w:space="0" w:color="auto"/>
      </w:divBdr>
    </w:div>
    <w:div w:id="839202764">
      <w:bodyDiv w:val="1"/>
      <w:marLeft w:val="0"/>
      <w:marRight w:val="0"/>
      <w:marTop w:val="0"/>
      <w:marBottom w:val="0"/>
      <w:divBdr>
        <w:top w:val="none" w:sz="0" w:space="0" w:color="auto"/>
        <w:left w:val="none" w:sz="0" w:space="0" w:color="auto"/>
        <w:bottom w:val="none" w:sz="0" w:space="0" w:color="auto"/>
        <w:right w:val="none" w:sz="0" w:space="0" w:color="auto"/>
      </w:divBdr>
    </w:div>
    <w:div w:id="1027482015">
      <w:bodyDiv w:val="1"/>
      <w:marLeft w:val="0"/>
      <w:marRight w:val="0"/>
      <w:marTop w:val="0"/>
      <w:marBottom w:val="0"/>
      <w:divBdr>
        <w:top w:val="none" w:sz="0" w:space="0" w:color="auto"/>
        <w:left w:val="none" w:sz="0" w:space="0" w:color="auto"/>
        <w:bottom w:val="none" w:sz="0" w:space="0" w:color="auto"/>
        <w:right w:val="none" w:sz="0" w:space="0" w:color="auto"/>
      </w:divBdr>
    </w:div>
    <w:div w:id="1318877596">
      <w:bodyDiv w:val="1"/>
      <w:marLeft w:val="0"/>
      <w:marRight w:val="0"/>
      <w:marTop w:val="0"/>
      <w:marBottom w:val="0"/>
      <w:divBdr>
        <w:top w:val="none" w:sz="0" w:space="0" w:color="auto"/>
        <w:left w:val="none" w:sz="0" w:space="0" w:color="auto"/>
        <w:bottom w:val="none" w:sz="0" w:space="0" w:color="auto"/>
        <w:right w:val="none" w:sz="0" w:space="0" w:color="auto"/>
      </w:divBdr>
    </w:div>
    <w:div w:id="1544708927">
      <w:bodyDiv w:val="1"/>
      <w:marLeft w:val="0"/>
      <w:marRight w:val="0"/>
      <w:marTop w:val="0"/>
      <w:marBottom w:val="0"/>
      <w:divBdr>
        <w:top w:val="none" w:sz="0" w:space="0" w:color="auto"/>
        <w:left w:val="none" w:sz="0" w:space="0" w:color="auto"/>
        <w:bottom w:val="none" w:sz="0" w:space="0" w:color="auto"/>
        <w:right w:val="none" w:sz="0" w:space="0" w:color="auto"/>
      </w:divBdr>
    </w:div>
    <w:div w:id="1708873050">
      <w:bodyDiv w:val="1"/>
      <w:marLeft w:val="0"/>
      <w:marRight w:val="0"/>
      <w:marTop w:val="0"/>
      <w:marBottom w:val="0"/>
      <w:divBdr>
        <w:top w:val="none" w:sz="0" w:space="0" w:color="auto"/>
        <w:left w:val="none" w:sz="0" w:space="0" w:color="auto"/>
        <w:bottom w:val="none" w:sz="0" w:space="0" w:color="auto"/>
        <w:right w:val="none" w:sz="0" w:space="0" w:color="auto"/>
      </w:divBdr>
    </w:div>
    <w:div w:id="2101024629">
      <w:bodyDiv w:val="1"/>
      <w:marLeft w:val="0"/>
      <w:marRight w:val="0"/>
      <w:marTop w:val="0"/>
      <w:marBottom w:val="0"/>
      <w:divBdr>
        <w:top w:val="none" w:sz="0" w:space="0" w:color="auto"/>
        <w:left w:val="none" w:sz="0" w:space="0" w:color="auto"/>
        <w:bottom w:val="none" w:sz="0" w:space="0" w:color="auto"/>
        <w:right w:val="none" w:sz="0" w:space="0" w:color="auto"/>
      </w:divBdr>
    </w:div>
    <w:div w:id="21038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e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pers.ca.gov/page/newsroom/calpers-news/2018/2019-health-rates-approved"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a@cityemploye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Kara Natke</cp:lastModifiedBy>
  <cp:revision>2</cp:revision>
  <dcterms:created xsi:type="dcterms:W3CDTF">2018-07-25T14:34:00Z</dcterms:created>
  <dcterms:modified xsi:type="dcterms:W3CDTF">2018-07-25T14:34:00Z</dcterms:modified>
</cp:coreProperties>
</file>